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67" w:rsidRPr="00A76067" w:rsidRDefault="00A76067" w:rsidP="00E8016B">
      <w:pPr>
        <w:autoSpaceDE w:val="0"/>
        <w:autoSpaceDN w:val="0"/>
        <w:adjustRightInd w:val="0"/>
        <w:rPr>
          <w:rFonts w:cs="Arial"/>
          <w:b/>
          <w:iCs/>
          <w:color w:val="FF0000"/>
        </w:rPr>
      </w:pPr>
      <w:bookmarkStart w:id="0" w:name="_GoBack"/>
      <w:bookmarkEnd w:id="0"/>
      <w:r w:rsidRPr="00A76067">
        <w:rPr>
          <w:rFonts w:cs="Arial"/>
          <w:b/>
          <w:iCs/>
          <w:color w:val="FF0000"/>
        </w:rPr>
        <w:t>Bitte beachten: Es handelt sich um die Vorabfassung. Änderungen im Original des Gesetzestextes sind möglich.</w:t>
      </w:r>
    </w:p>
    <w:p w:rsidR="00A76067" w:rsidRDefault="00A76067" w:rsidP="00E8016B">
      <w:pPr>
        <w:autoSpaceDE w:val="0"/>
        <w:autoSpaceDN w:val="0"/>
        <w:adjustRightInd w:val="0"/>
        <w:rPr>
          <w:rFonts w:cs="Arial"/>
          <w:i/>
          <w:iCs/>
          <w:color w:val="FF0000"/>
        </w:rPr>
      </w:pPr>
    </w:p>
    <w:p w:rsidR="00A76067" w:rsidRDefault="00A76067" w:rsidP="00E8016B">
      <w:pPr>
        <w:autoSpaceDE w:val="0"/>
        <w:autoSpaceDN w:val="0"/>
        <w:adjustRightInd w:val="0"/>
        <w:rPr>
          <w:rFonts w:cs="Arial"/>
          <w:i/>
          <w:iCs/>
          <w:color w:val="FF0000"/>
        </w:rPr>
      </w:pPr>
    </w:p>
    <w:p w:rsidR="00E8016B" w:rsidRPr="00A76067" w:rsidRDefault="00E8016B" w:rsidP="00E8016B">
      <w:pPr>
        <w:autoSpaceDE w:val="0"/>
        <w:autoSpaceDN w:val="0"/>
        <w:adjustRightInd w:val="0"/>
        <w:rPr>
          <w:rFonts w:cs="Arial"/>
          <w:b/>
          <w:i/>
          <w:iCs/>
        </w:rPr>
      </w:pPr>
      <w:r w:rsidRPr="00A76067">
        <w:rPr>
          <w:rFonts w:cs="Arial"/>
          <w:b/>
          <w:i/>
          <w:iCs/>
        </w:rPr>
        <w:t>Vorabfassung - wird durch die lektorierte Fassung ersetzt.</w:t>
      </w:r>
    </w:p>
    <w:p w:rsidR="00E8016B" w:rsidRPr="00E8016B" w:rsidRDefault="00E8016B" w:rsidP="00E8016B">
      <w:pPr>
        <w:autoSpaceDE w:val="0"/>
        <w:autoSpaceDN w:val="0"/>
        <w:adjustRightInd w:val="0"/>
        <w:rPr>
          <w:rFonts w:cs="Arial"/>
          <w:color w:val="000000"/>
        </w:rPr>
      </w:pPr>
      <w:r w:rsidRPr="00E8016B">
        <w:rPr>
          <w:rFonts w:cs="Arial"/>
          <w:b/>
          <w:bCs/>
          <w:color w:val="000000"/>
        </w:rPr>
        <w:t xml:space="preserve">Drucksache </w:t>
      </w:r>
      <w:r w:rsidRPr="00E8016B">
        <w:rPr>
          <w:rFonts w:cs="Arial"/>
          <w:color w:val="000000"/>
        </w:rPr>
        <w:t>19/</w:t>
      </w:r>
      <w:r w:rsidRPr="00E8016B">
        <w:rPr>
          <w:rFonts w:cs="Arial"/>
          <w:b/>
          <w:bCs/>
          <w:color w:val="000000"/>
        </w:rPr>
        <w:t xml:space="preserve">18112 </w:t>
      </w:r>
      <w:r w:rsidRPr="00E8016B">
        <w:rPr>
          <w:rFonts w:cs="Arial"/>
          <w:color w:val="000000"/>
        </w:rPr>
        <w:t>– 18 – Deutscher Bundestag – 19. Wahlperiode</w:t>
      </w:r>
    </w:p>
    <w:p w:rsidR="00E8016B" w:rsidRPr="00A76067" w:rsidRDefault="00E8016B" w:rsidP="00E8016B">
      <w:pPr>
        <w:autoSpaceDE w:val="0"/>
        <w:autoSpaceDN w:val="0"/>
        <w:adjustRightInd w:val="0"/>
        <w:rPr>
          <w:rFonts w:cs="Arial"/>
          <w:bCs/>
        </w:rPr>
      </w:pPr>
      <w:r w:rsidRPr="00A76067">
        <w:rPr>
          <w:rFonts w:cs="Arial"/>
          <w:bCs/>
        </w:rPr>
        <w:t>Entwurf eines Gesetzes zum Ausgleich COVID-19 bedingter finanzieller</w:t>
      </w:r>
      <w:r w:rsidRPr="00A76067">
        <w:rPr>
          <w:rFonts w:cs="Arial"/>
          <w:bCs/>
        </w:rPr>
        <w:t xml:space="preserve"> </w:t>
      </w:r>
      <w:r w:rsidRPr="00A76067">
        <w:rPr>
          <w:rFonts w:cs="Arial"/>
          <w:bCs/>
        </w:rPr>
        <w:t>Belastungen der Krankenhäuser und weiterer Gesundheitseinrichtungen</w:t>
      </w:r>
    </w:p>
    <w:p w:rsidR="00E8016B" w:rsidRPr="00A76067" w:rsidRDefault="00E8016B" w:rsidP="00E8016B">
      <w:pPr>
        <w:autoSpaceDE w:val="0"/>
        <w:autoSpaceDN w:val="0"/>
        <w:adjustRightInd w:val="0"/>
        <w:rPr>
          <w:rFonts w:cs="Arial"/>
          <w:color w:val="000000"/>
        </w:rPr>
      </w:pPr>
      <w:r w:rsidRPr="00A76067">
        <w:rPr>
          <w:rFonts w:cs="Arial"/>
          <w:bCs/>
        </w:rPr>
        <w:t>(COVID-19-Krankenhausentlastungsgesetz)</w:t>
      </w:r>
    </w:p>
    <w:p w:rsidR="00E8016B" w:rsidRPr="00E8016B" w:rsidRDefault="00A76067" w:rsidP="00E8016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Quelle: </w:t>
      </w:r>
      <w:hyperlink r:id="rId5" w:history="1">
        <w:r w:rsidRPr="008D2321">
          <w:rPr>
            <w:rStyle w:val="Hyperlink"/>
            <w:rFonts w:cs="Arial"/>
          </w:rPr>
          <w:t>www.bundestag.de</w:t>
        </w:r>
      </w:hyperlink>
      <w:r>
        <w:rPr>
          <w:rFonts w:cs="Arial"/>
          <w:color w:val="000000"/>
        </w:rPr>
        <w:t xml:space="preserve"> </w:t>
      </w:r>
      <w:r w:rsidR="00E8016B">
        <w:rPr>
          <w:rFonts w:cs="Arial"/>
          <w:color w:val="000000"/>
        </w:rPr>
        <w:t>Stand 27.3.2020</w:t>
      </w:r>
    </w:p>
    <w:p w:rsidR="00E8016B" w:rsidRPr="00E8016B" w:rsidRDefault="00E8016B" w:rsidP="00E8016B">
      <w:pPr>
        <w:autoSpaceDE w:val="0"/>
        <w:autoSpaceDN w:val="0"/>
        <w:adjustRightInd w:val="0"/>
        <w:rPr>
          <w:rFonts w:cs="Arial"/>
          <w:color w:val="000000"/>
        </w:rPr>
      </w:pPr>
    </w:p>
    <w:p w:rsidR="00E8016B" w:rsidRDefault="00E8016B" w:rsidP="00E8016B">
      <w:pPr>
        <w:autoSpaceDE w:val="0"/>
        <w:autoSpaceDN w:val="0"/>
        <w:adjustRightInd w:val="0"/>
        <w:rPr>
          <w:rFonts w:cs="Arial"/>
          <w:color w:val="000000"/>
        </w:rPr>
      </w:pPr>
      <w:r w:rsidRPr="00E8016B">
        <w:rPr>
          <w:rFonts w:cs="Arial"/>
          <w:color w:val="000000"/>
        </w:rPr>
        <w:t>§ 150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Sicherstellung der pflegerischen Versorgung, Kostenerstattung für Pflegeeinrichtungen und Pflegebedürftige</w:t>
      </w:r>
    </w:p>
    <w:p w:rsidR="00E8016B" w:rsidRPr="00E8016B" w:rsidRDefault="00E8016B" w:rsidP="00E8016B">
      <w:pPr>
        <w:autoSpaceDE w:val="0"/>
        <w:autoSpaceDN w:val="0"/>
        <w:adjustRightInd w:val="0"/>
        <w:rPr>
          <w:rFonts w:cs="Arial"/>
          <w:color w:val="000000"/>
        </w:rPr>
      </w:pPr>
    </w:p>
    <w:p w:rsidR="00E8016B" w:rsidRDefault="00E8016B" w:rsidP="00E8016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</w:rPr>
      </w:pPr>
      <w:r w:rsidRPr="00E8016B">
        <w:rPr>
          <w:rFonts w:cs="Arial"/>
          <w:color w:val="000000"/>
        </w:rPr>
        <w:t xml:space="preserve">Im Fall einer </w:t>
      </w:r>
      <w:r w:rsidRPr="00A76067">
        <w:rPr>
          <w:rFonts w:cs="Arial"/>
          <w:b/>
          <w:color w:val="000000"/>
        </w:rPr>
        <w:t>wesentlichen Beeinträchtigung</w:t>
      </w:r>
      <w:r w:rsidRPr="00E8016B">
        <w:rPr>
          <w:rFonts w:cs="Arial"/>
          <w:color w:val="000000"/>
        </w:rPr>
        <w:t xml:space="preserve"> der Leistungserbringung infolge des neuartigen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Coronavirus SARS-CoV-2 ist der Träger einer nach § 72 zugelassenen Pflegeeinrichtung verpflichtet, diese</w:t>
      </w:r>
      <w:r w:rsidRPr="00E8016B">
        <w:rPr>
          <w:rFonts w:cs="Arial"/>
          <w:color w:val="000000"/>
        </w:rPr>
        <w:t xml:space="preserve"> </w:t>
      </w:r>
      <w:r w:rsidRPr="00A76067">
        <w:rPr>
          <w:rFonts w:cs="Arial"/>
          <w:b/>
          <w:color w:val="000000"/>
        </w:rPr>
        <w:t>umgehend den Pflegekassen gegenüber anzuzeigen</w:t>
      </w:r>
      <w:r w:rsidRPr="00E8016B">
        <w:rPr>
          <w:rFonts w:cs="Arial"/>
          <w:color w:val="000000"/>
        </w:rPr>
        <w:t xml:space="preserve">. Es genügt die Anzeige </w:t>
      </w:r>
      <w:r w:rsidRPr="00A76067">
        <w:rPr>
          <w:rFonts w:cs="Arial"/>
          <w:b/>
          <w:color w:val="000000"/>
        </w:rPr>
        <w:t>an eine</w:t>
      </w:r>
      <w:r w:rsidRPr="00E8016B">
        <w:rPr>
          <w:rFonts w:cs="Arial"/>
          <w:color w:val="000000"/>
        </w:rPr>
        <w:t xml:space="preserve"> als Partei des Versorgungsvertrages</w:t>
      </w:r>
      <w:r w:rsidRPr="00E8016B">
        <w:rPr>
          <w:rFonts w:cs="Arial"/>
          <w:color w:val="000000"/>
        </w:rPr>
        <w:t xml:space="preserve"> </w:t>
      </w:r>
      <w:r w:rsidRPr="00A76067">
        <w:rPr>
          <w:rFonts w:cs="Arial"/>
          <w:b/>
          <w:color w:val="000000"/>
        </w:rPr>
        <w:t>beteiligte Pflegekasse</w:t>
      </w:r>
      <w:r w:rsidRPr="00E8016B">
        <w:rPr>
          <w:rFonts w:cs="Arial"/>
          <w:color w:val="000000"/>
        </w:rPr>
        <w:t>. In Abstimmung mit den weiteren hierbei zuständigen Stellen, insbesondere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den nach Landesrecht bestimmten heimrechtlichen Aufsichtsbehörden, haben die Pflegekassen zusammen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 xml:space="preserve">mit der Pflegeeinrichtung zur Sicherstellung der pflegerischen Versorgung die </w:t>
      </w:r>
      <w:r w:rsidRPr="00A76067">
        <w:rPr>
          <w:rFonts w:cs="Arial"/>
          <w:b/>
          <w:color w:val="000000"/>
        </w:rPr>
        <w:t>erforderlichen Maßnahmen</w:t>
      </w:r>
      <w:r w:rsidRPr="00A76067">
        <w:rPr>
          <w:rFonts w:cs="Arial"/>
          <w:b/>
          <w:color w:val="000000"/>
        </w:rPr>
        <w:t xml:space="preserve"> </w:t>
      </w:r>
      <w:r w:rsidRPr="00A76067">
        <w:rPr>
          <w:rFonts w:cs="Arial"/>
          <w:b/>
          <w:color w:val="000000"/>
        </w:rPr>
        <w:t>und Anpassungen vorzunehmen, wobei auch von der vereinbarten Personalausstattung einschließlich</w:t>
      </w:r>
      <w:r w:rsidRPr="00A76067">
        <w:rPr>
          <w:rFonts w:cs="Arial"/>
          <w:b/>
          <w:color w:val="000000"/>
        </w:rPr>
        <w:t xml:space="preserve"> </w:t>
      </w:r>
      <w:r w:rsidRPr="00A76067">
        <w:rPr>
          <w:rFonts w:cs="Arial"/>
          <w:b/>
          <w:color w:val="000000"/>
        </w:rPr>
        <w:t>deren gesetzlichen Bestimmungen nach diesem Buch abgewichen werden kann</w:t>
      </w:r>
      <w:r w:rsidRPr="00E8016B">
        <w:rPr>
          <w:rFonts w:cs="Arial"/>
          <w:color w:val="000000"/>
        </w:rPr>
        <w:t>. Dabei sind zum flexiblen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Einsatz des Personals in anderen Versorgungsbereichen alle bestehenden Instrumente und Mittel einschließlich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des Vertragsrechts zu nutzen, bei denen zulassungsrechtliche Voraussetzungen zweckgerichtet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und unbürokratisch angewandt werden können. Dies gilt auch für den Einsatz von Beschäftigten für die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Leistungen der zusätzlichen Betreuung nach § 43b in anderen Bereichen.</w:t>
      </w:r>
    </w:p>
    <w:p w:rsidR="00E8016B" w:rsidRDefault="00E8016B" w:rsidP="00E8016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</w:rPr>
      </w:pPr>
      <w:r w:rsidRPr="00E8016B">
        <w:rPr>
          <w:rFonts w:cs="Arial"/>
          <w:color w:val="000000"/>
        </w:rPr>
        <w:t>Den zugelassenen Pflegeeinrichtungen werden die ihnen infolge des neuartigen Coronavirus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 xml:space="preserve">SARS-CoV-2 anfallenden, </w:t>
      </w:r>
      <w:r w:rsidRPr="00A76067">
        <w:rPr>
          <w:rFonts w:cs="Arial"/>
          <w:b/>
          <w:color w:val="000000"/>
        </w:rPr>
        <w:t>außerordentlichen Aufwendungen sowie Mindereinnahmen</w:t>
      </w:r>
      <w:r w:rsidRPr="00E8016B">
        <w:rPr>
          <w:rFonts w:cs="Arial"/>
          <w:color w:val="000000"/>
        </w:rPr>
        <w:t xml:space="preserve"> im Rahmen ihrer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Leistungserbringung, die nicht anderweitig finanziert werden, erstattet. Der Anspruch auf Erstattung kann</w:t>
      </w:r>
      <w:r w:rsidRPr="00E8016B">
        <w:rPr>
          <w:rFonts w:cs="Arial"/>
          <w:color w:val="000000"/>
        </w:rPr>
        <w:t xml:space="preserve"> </w:t>
      </w:r>
      <w:r w:rsidRPr="00A76067">
        <w:rPr>
          <w:rFonts w:cs="Arial"/>
          <w:b/>
          <w:color w:val="000000"/>
        </w:rPr>
        <w:t>bei einer Pflegekasse</w:t>
      </w:r>
      <w:r w:rsidRPr="00E8016B">
        <w:rPr>
          <w:rFonts w:cs="Arial"/>
          <w:color w:val="000000"/>
        </w:rPr>
        <w:t xml:space="preserve"> regelmäßig zum Monatsende geltend gemacht werden, die Partei des Versorgungsvertrages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 xml:space="preserve">ist. Die Auszahlung des gesamten Erstattungsbetrages hat </w:t>
      </w:r>
      <w:r w:rsidRPr="00A76067">
        <w:rPr>
          <w:rFonts w:cs="Arial"/>
          <w:b/>
          <w:color w:val="000000"/>
        </w:rPr>
        <w:t>innerhalb von 14 Kalendertagen</w:t>
      </w:r>
      <w:r w:rsidRPr="00E8016B">
        <w:rPr>
          <w:rFonts w:cs="Arial"/>
          <w:color w:val="000000"/>
        </w:rPr>
        <w:t xml:space="preserve"> über eine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 xml:space="preserve">Pflegekasse zu erfolgen. Die Auszahlung kann </w:t>
      </w:r>
      <w:r w:rsidRPr="00A76067">
        <w:rPr>
          <w:rFonts w:cs="Arial"/>
          <w:b/>
          <w:color w:val="000000"/>
        </w:rPr>
        <w:t>vorläufig</w:t>
      </w:r>
      <w:r w:rsidRPr="00E8016B">
        <w:rPr>
          <w:rFonts w:cs="Arial"/>
          <w:color w:val="000000"/>
        </w:rPr>
        <w:t xml:space="preserve"> erfolgen. Für zugelassene Pflegeeinrichtungen, die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eine vertragliche Regelung der Pflegevergütung nach den §§ 85 und 89 abgeschlossen haben, findet § 85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Absatz 7 insoweit keine Anwendung. Dabei sind bei Unterschreitungen der vereinbarten Personalausstattung</w:t>
      </w:r>
      <w:r w:rsidRPr="00E8016B">
        <w:rPr>
          <w:rFonts w:cs="Arial"/>
          <w:color w:val="000000"/>
        </w:rPr>
        <w:t xml:space="preserve"> </w:t>
      </w:r>
      <w:r w:rsidRPr="00A76067">
        <w:rPr>
          <w:rFonts w:cs="Arial"/>
          <w:b/>
          <w:color w:val="000000"/>
        </w:rPr>
        <w:t>keine Vergütungskürzungsverfahren</w:t>
      </w:r>
      <w:r w:rsidRPr="00E8016B">
        <w:rPr>
          <w:rFonts w:cs="Arial"/>
          <w:color w:val="000000"/>
        </w:rPr>
        <w:t xml:space="preserve"> nach § 115 Absatz 3 Satz 1 durchzuführen.</w:t>
      </w:r>
    </w:p>
    <w:p w:rsidR="00E8016B" w:rsidRDefault="00E8016B" w:rsidP="00E8016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</w:rPr>
      </w:pPr>
      <w:r w:rsidRPr="00E8016B">
        <w:rPr>
          <w:rFonts w:cs="Arial"/>
          <w:color w:val="000000"/>
        </w:rPr>
        <w:t>Der Spitzenverband Bund der Pflegekassen legt im Benehmen mit den Bundesvereinigungen der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 xml:space="preserve">Träger stationärer und ambulanter Pflegeeinrichtungen unverzüglich das </w:t>
      </w:r>
      <w:r w:rsidRPr="00A76067">
        <w:rPr>
          <w:rFonts w:cs="Arial"/>
          <w:b/>
          <w:color w:val="000000"/>
        </w:rPr>
        <w:t>Nähere für das Erstattungsverfahren</w:t>
      </w:r>
      <w:r w:rsidRPr="00A76067">
        <w:rPr>
          <w:rFonts w:cs="Arial"/>
          <w:b/>
          <w:color w:val="000000"/>
        </w:rPr>
        <w:t xml:space="preserve"> </w:t>
      </w:r>
      <w:r w:rsidRPr="00A76067">
        <w:rPr>
          <w:rFonts w:cs="Arial"/>
          <w:b/>
          <w:color w:val="000000"/>
        </w:rPr>
        <w:t>und die erforderlichen Nachweise</w:t>
      </w:r>
      <w:r w:rsidRPr="00E8016B">
        <w:rPr>
          <w:rFonts w:cs="Arial"/>
          <w:color w:val="000000"/>
        </w:rPr>
        <w:t xml:space="preserve"> für seine Mitglieder fest. Dabei sind gemessen an der besonderen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Herausforderung von allen Beteiligten pragmatische Lösungen in der Umsetzung vorzusehen. Die Festlegungen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 xml:space="preserve">bedürfen der </w:t>
      </w:r>
      <w:r w:rsidRPr="00A76067">
        <w:rPr>
          <w:rFonts w:cs="Arial"/>
          <w:b/>
          <w:color w:val="000000"/>
        </w:rPr>
        <w:t>Zustimmung</w:t>
      </w:r>
      <w:r w:rsidRPr="00E8016B">
        <w:rPr>
          <w:rFonts w:cs="Arial"/>
          <w:color w:val="000000"/>
        </w:rPr>
        <w:t xml:space="preserve"> des Bundesministeriums für Gesundheit. Der Spitzenverband Bund der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Pflegekassen berichtet dem Bundesministerium für Gesundheit regelmäßig über die Ausgabenentwicklung.</w:t>
      </w:r>
    </w:p>
    <w:p w:rsidR="00E8016B" w:rsidRDefault="00E8016B" w:rsidP="00E8016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</w:rPr>
      </w:pPr>
      <w:r w:rsidRPr="00E8016B">
        <w:rPr>
          <w:rFonts w:cs="Arial"/>
          <w:color w:val="000000"/>
        </w:rPr>
        <w:t>Bei ambulanten Pflegeeinrichtungen tragen die gesetzlichen Krankenkassen und die Soziale Pflegeversicherung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die nach Absatz 2 entstehenden Erstattungen entsprechend des Verhältnisses der Ausgaben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im vorangegangenen Kalenderjahr der Krankenkassen für die häusliche Krankenpflege zu den Ausgaben der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sozialen Pflegeversicherung für Pflegesachleistungen; § 106b Absatz 2 Satz 2 und 3 gilt entsprechend. Die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privaten Versicherungsunternehmen, die die private Pflege-Pflichtversicherung durchführen, beteiligen sich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mit einem Anteil von 7 Prozent an den Kosten, die sich gemäß Absatz 2 ergeben. Das Bundesamt für Soziale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 xml:space="preserve">Sicherung stellt die Höhe des Finanzierungsanteils der </w:t>
      </w:r>
      <w:r w:rsidRPr="00E8016B">
        <w:rPr>
          <w:rFonts w:cs="Arial"/>
          <w:color w:val="000000"/>
        </w:rPr>
        <w:lastRenderedPageBreak/>
        <w:t>privaten Versicherungsunternehmen auf Basis der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vierteljährlichen Finanzstatistiken der gesetzlichen Kranken- und Pflegekassen fest. Die entsprechende Zahlung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wird binnen vier Wochen fällig. Der jeweilige Finanzierungsanteil, der auf die privaten Versicherungsunternehmen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entfällt, kann von dem Verband der privaten Krankenversicherung e. V. unmittelbar an das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Bundesamt für Soziale Sicherung zugunsten des Ausgleichsfonds der Pflegeversicherung nach § 65 geleistet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werden.</w:t>
      </w:r>
    </w:p>
    <w:p w:rsidR="00E8016B" w:rsidRDefault="00E8016B" w:rsidP="00E8016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</w:rPr>
      </w:pPr>
      <w:r w:rsidRPr="00E8016B">
        <w:rPr>
          <w:rFonts w:cs="Arial"/>
          <w:color w:val="000000"/>
        </w:rPr>
        <w:t xml:space="preserve">Die Pflegekassen können </w:t>
      </w:r>
      <w:r w:rsidRPr="00A76067">
        <w:rPr>
          <w:rFonts w:cs="Arial"/>
          <w:b/>
          <w:color w:val="000000"/>
        </w:rPr>
        <w:t>nach ihrem Ermessen</w:t>
      </w:r>
      <w:r w:rsidRPr="00E8016B">
        <w:rPr>
          <w:rFonts w:cs="Arial"/>
          <w:color w:val="000000"/>
        </w:rPr>
        <w:t xml:space="preserve"> zur Vermeidung von durch das neuartige Coronavirus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 xml:space="preserve">SARS-CoV-2 </w:t>
      </w:r>
      <w:r w:rsidRPr="00A76067">
        <w:rPr>
          <w:rFonts w:cs="Arial"/>
          <w:b/>
          <w:color w:val="000000"/>
        </w:rPr>
        <w:t>im Einzelfall im häuslichen Bereich</w:t>
      </w:r>
      <w:r w:rsidRPr="00E8016B">
        <w:rPr>
          <w:rFonts w:cs="Arial"/>
          <w:color w:val="000000"/>
        </w:rPr>
        <w:t xml:space="preserve"> verursachten pflegerischen Versorgungsengpässen,</w:t>
      </w:r>
      <w:r w:rsidRPr="00E8016B">
        <w:rPr>
          <w:rFonts w:cs="Arial"/>
          <w:color w:val="000000"/>
        </w:rPr>
        <w:t xml:space="preserve"> </w:t>
      </w:r>
      <w:r w:rsidRPr="00A76067">
        <w:rPr>
          <w:rFonts w:cs="Arial"/>
          <w:b/>
          <w:color w:val="000000"/>
        </w:rPr>
        <w:t>Kostenerstattung in Höhe der ambulanten Sachleistungsbeträge (§ 36) nach vorheriger Antragstellung gewähren,</w:t>
      </w:r>
      <w:r w:rsidRPr="00A76067">
        <w:rPr>
          <w:rFonts w:cs="Arial"/>
          <w:b/>
          <w:color w:val="000000"/>
        </w:rPr>
        <w:t xml:space="preserve"> </w:t>
      </w:r>
      <w:r w:rsidRPr="00A76067">
        <w:rPr>
          <w:rFonts w:cs="Arial"/>
          <w:b/>
          <w:color w:val="000000"/>
        </w:rPr>
        <w:t>wenn die Maßnahmen nach Absatz 1 Satz 3 nicht ausreichend sind</w:t>
      </w:r>
      <w:r w:rsidRPr="00E8016B">
        <w:rPr>
          <w:rFonts w:cs="Arial"/>
          <w:color w:val="000000"/>
        </w:rPr>
        <w:t>; dabei haben sie vorrangig Leistungserbringer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zu berücksichtigen, die von Pflegefachkräften geleitet werden. Entsprechende Kostenerstattungszusagen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sind jeweils auf bis zu drei Monate zu begrenzen. Der Spitzenverband Bund der Pflegekassen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legt Einzelheiten dazu in Empfehlungen fest. Die Pflegekassen können bei Bedarf bereits vor dem Vorliegen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der Empfehlungen Kostenerstattungen zusagen. Die Pflegekassen können aus wichtigen Gründen die Kostenerstattungszusage</w:t>
      </w:r>
      <w:r w:rsidRPr="00E8016B">
        <w:rPr>
          <w:rFonts w:cs="Arial"/>
          <w:color w:val="000000"/>
        </w:rPr>
        <w:t xml:space="preserve"> </w:t>
      </w:r>
      <w:r w:rsidRPr="00E8016B">
        <w:rPr>
          <w:rFonts w:cs="Arial"/>
          <w:color w:val="000000"/>
        </w:rPr>
        <w:t>jederzeit widerrufen.</w:t>
      </w:r>
    </w:p>
    <w:p w:rsidR="003E1688" w:rsidRPr="00E8016B" w:rsidRDefault="00E8016B" w:rsidP="00E8016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</w:rPr>
      </w:pPr>
      <w:r w:rsidRPr="00E8016B">
        <w:rPr>
          <w:rFonts w:cs="Arial"/>
          <w:color w:val="000000"/>
        </w:rPr>
        <w:t xml:space="preserve">Die Absätze 1 bis 5 gelten </w:t>
      </w:r>
      <w:r w:rsidRPr="00A76067">
        <w:rPr>
          <w:rFonts w:cs="Arial"/>
          <w:b/>
          <w:color w:val="000000"/>
        </w:rPr>
        <w:t>bis einschließlich 30. September 2020</w:t>
      </w:r>
      <w:r w:rsidRPr="00E8016B">
        <w:rPr>
          <w:rFonts w:cs="Arial"/>
          <w:color w:val="000000"/>
        </w:rPr>
        <w:t>.</w:t>
      </w:r>
    </w:p>
    <w:p w:rsidR="00E8016B" w:rsidRPr="00E8016B" w:rsidRDefault="00E8016B">
      <w:pPr>
        <w:rPr>
          <w:rFonts w:cs="Arial"/>
        </w:rPr>
      </w:pPr>
    </w:p>
    <w:sectPr w:rsidR="00E8016B" w:rsidRPr="00E801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B7DF5"/>
    <w:multiLevelType w:val="hybridMultilevel"/>
    <w:tmpl w:val="478AF20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E2311"/>
    <w:multiLevelType w:val="hybridMultilevel"/>
    <w:tmpl w:val="D8A614A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tsOElCJSOBvvaRy4XfeSI7uJ94rglH0q1TWPSO83s+Achfdc8D+2k7uZjBhekazEVJy+Bj8ZPlcmhCbxpUp6g==" w:salt="FoRe+eMX1gmnxlinCNJ2TA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6B"/>
    <w:rsid w:val="0029682D"/>
    <w:rsid w:val="003E1688"/>
    <w:rsid w:val="00405212"/>
    <w:rsid w:val="00A76067"/>
    <w:rsid w:val="00E8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90FDF-81B4-459E-A483-5CDD7CA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9682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016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6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ndesta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Morgenstern</dc:creator>
  <cp:keywords/>
  <dc:description/>
  <cp:lastModifiedBy>Morgenstern</cp:lastModifiedBy>
  <cp:revision>1</cp:revision>
  <dcterms:created xsi:type="dcterms:W3CDTF">2020-03-28T09:03:00Z</dcterms:created>
  <dcterms:modified xsi:type="dcterms:W3CDTF">2020-03-28T09:30:00Z</dcterms:modified>
</cp:coreProperties>
</file>