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8221" w:tblpY="-358"/>
        <w:tblW w:w="3226" w:type="dxa"/>
        <w:tblCellMar>
          <w:left w:w="70" w:type="dxa"/>
          <w:right w:w="70" w:type="dxa"/>
        </w:tblCellMar>
        <w:tblLook w:val="0000" w:firstRow="0" w:lastRow="0" w:firstColumn="0" w:lastColumn="0" w:noHBand="0" w:noVBand="0"/>
      </w:tblPr>
      <w:tblGrid>
        <w:gridCol w:w="3226"/>
      </w:tblGrid>
      <w:tr w:rsidR="00344FE9">
        <w:tc>
          <w:tcPr>
            <w:tcW w:w="3226" w:type="dxa"/>
          </w:tcPr>
          <w:p w:rsidR="00344FE9" w:rsidRPr="00F41E40" w:rsidRDefault="00344FE9" w:rsidP="00F41E40">
            <w:pPr>
              <w:rPr>
                <w:sz w:val="18"/>
                <w:szCs w:val="18"/>
              </w:rPr>
            </w:pPr>
            <w:bookmarkStart w:id="0" w:name="_GoBack"/>
            <w:bookmarkEnd w:id="0"/>
          </w:p>
        </w:tc>
      </w:tr>
    </w:tbl>
    <w:p w:rsidR="00AA4EC7" w:rsidRDefault="00AA4EC7" w:rsidP="00AA4EC7">
      <w:r>
        <w:tab/>
      </w:r>
      <w:r>
        <w:tab/>
      </w:r>
    </w:p>
    <w:p w:rsidR="0077749C" w:rsidRDefault="0077749C" w:rsidP="0077749C">
      <w:pPr>
        <w:jc w:val="center"/>
        <w:rPr>
          <w:rFonts w:eastAsiaTheme="minorHAnsi" w:cstheme="minorBidi"/>
          <w:lang w:eastAsia="en-US"/>
        </w:rPr>
      </w:pPr>
      <w:r>
        <w:rPr>
          <w:rFonts w:eastAsiaTheme="minorHAnsi" w:cs="Arial"/>
          <w:b/>
          <w:color w:val="358372"/>
          <w:sz w:val="32"/>
          <w:szCs w:val="32"/>
          <w:lang w:eastAsia="en-US"/>
        </w:rPr>
        <w:t xml:space="preserve">Pflegesätze in stationären Pflegeeinrichtungen </w:t>
      </w:r>
      <w:r>
        <w:rPr>
          <w:rFonts w:eastAsiaTheme="minorHAnsi" w:cs="Arial"/>
          <w:b/>
          <w:color w:val="358372"/>
          <w:sz w:val="32"/>
          <w:szCs w:val="32"/>
          <w:lang w:eastAsia="en-US"/>
        </w:rPr>
        <w:br/>
        <w:t>nach dem PSG II umstellen</w:t>
      </w:r>
    </w:p>
    <w:p w:rsidR="0077749C" w:rsidRDefault="0077749C" w:rsidP="002E2006">
      <w:pPr>
        <w:rPr>
          <w:rFonts w:eastAsiaTheme="minorHAnsi" w:cstheme="minorBidi"/>
          <w:lang w:eastAsia="en-US"/>
        </w:rPr>
      </w:pPr>
    </w:p>
    <w:p w:rsidR="00096C23" w:rsidRDefault="002E2006" w:rsidP="002E2006">
      <w:pPr>
        <w:rPr>
          <w:rFonts w:eastAsiaTheme="minorHAnsi" w:cstheme="minorBidi"/>
          <w:lang w:eastAsia="en-US"/>
        </w:rPr>
      </w:pPr>
      <w:r w:rsidRPr="002E2006">
        <w:rPr>
          <w:rFonts w:eastAsiaTheme="minorHAnsi" w:cstheme="minorBidi"/>
          <w:lang w:eastAsia="en-US"/>
        </w:rPr>
        <w:t>Am 29. April 2016 ha</w:t>
      </w:r>
      <w:r w:rsidR="0077749C">
        <w:rPr>
          <w:rFonts w:eastAsiaTheme="minorHAnsi" w:cstheme="minorBidi"/>
          <w:lang w:eastAsia="en-US"/>
        </w:rPr>
        <w:t xml:space="preserve">t sich die Pflegesatzkommission nach SGB XI im Freistaat Sachsen </w:t>
      </w:r>
      <w:r w:rsidRPr="002E2006">
        <w:rPr>
          <w:rFonts w:eastAsiaTheme="minorHAnsi" w:cstheme="minorBidi"/>
          <w:lang w:eastAsia="en-US"/>
        </w:rPr>
        <w:t>auf die Regularien für neue Pflegesätze für Pflegeheime und teilstationäre Pflegeeinrichtungen verständigt</w:t>
      </w:r>
      <w:r w:rsidR="0077749C">
        <w:rPr>
          <w:rFonts w:eastAsiaTheme="minorHAnsi" w:cstheme="minorBidi"/>
          <w:lang w:eastAsia="en-US"/>
        </w:rPr>
        <w:t>. Ab sofort steht d</w:t>
      </w:r>
      <w:r w:rsidR="00096C23">
        <w:rPr>
          <w:rFonts w:eastAsiaTheme="minorHAnsi" w:cstheme="minorBidi"/>
          <w:lang w:eastAsia="en-US"/>
        </w:rPr>
        <w:t xml:space="preserve">er neue Formularsatz für Vergütungsverhandlungen zur Verfügung. Diesen stellen wir unseren Mitgliedern und Pflegeeinrichtungen im Freistaat Sachsen gerne zur Verfügung. </w:t>
      </w:r>
      <w:r w:rsidR="004F2C84" w:rsidRPr="002E2006">
        <w:rPr>
          <w:rFonts w:eastAsiaTheme="minorHAnsi" w:cstheme="minorBidi"/>
          <w:lang w:eastAsia="en-US"/>
        </w:rPr>
        <w:t>Das neue Antragsformular bildet alle 3 Varianten ab</w:t>
      </w:r>
      <w:r w:rsidR="004F2C84">
        <w:rPr>
          <w:rFonts w:eastAsiaTheme="minorHAnsi" w:cstheme="minorBidi"/>
          <w:lang w:eastAsia="en-US"/>
        </w:rPr>
        <w:t>.</w:t>
      </w:r>
    </w:p>
    <w:p w:rsidR="002E2006" w:rsidRDefault="00096C23" w:rsidP="002E2006">
      <w:pPr>
        <w:rPr>
          <w:rFonts w:eastAsiaTheme="minorHAnsi" w:cstheme="minorBidi"/>
          <w:lang w:eastAsia="en-US"/>
        </w:rPr>
      </w:pPr>
      <w:r>
        <w:rPr>
          <w:rFonts w:eastAsiaTheme="minorHAnsi" w:cstheme="minorBidi"/>
          <w:lang w:eastAsia="en-US"/>
        </w:rPr>
        <w:t>Bitte senden Sie uns ein Anforderungsemail (</w:t>
      </w:r>
      <w:hyperlink r:id="rId7" w:history="1">
        <w:r>
          <w:rPr>
            <w:rStyle w:val="Hyperlink"/>
            <w:rFonts w:eastAsiaTheme="minorHAnsi" w:cstheme="minorBidi"/>
            <w:color w:val="0000FF"/>
            <w:lang w:eastAsia="en-US"/>
          </w:rPr>
          <w:t>lvhs-sachsen@t-online.de</w:t>
        </w:r>
      </w:hyperlink>
      <w:r>
        <w:rPr>
          <w:rFonts w:eastAsiaTheme="minorHAnsi" w:cstheme="minorBidi"/>
          <w:lang w:eastAsia="en-US"/>
        </w:rPr>
        <w:t>).</w:t>
      </w:r>
      <w:r w:rsidR="0077749C">
        <w:rPr>
          <w:rFonts w:eastAsiaTheme="minorHAnsi" w:cstheme="minorBidi"/>
          <w:lang w:eastAsia="en-US"/>
        </w:rPr>
        <w:t xml:space="preserve"> </w:t>
      </w:r>
    </w:p>
    <w:p w:rsidR="0077749C" w:rsidRDefault="0077749C" w:rsidP="002E2006">
      <w:pPr>
        <w:rPr>
          <w:rFonts w:eastAsiaTheme="minorHAnsi" w:cstheme="minorBidi"/>
          <w:lang w:eastAsia="en-US"/>
        </w:rPr>
      </w:pPr>
    </w:p>
    <w:p w:rsidR="00096C23" w:rsidRDefault="00096C23" w:rsidP="002E2006">
      <w:pPr>
        <w:rPr>
          <w:rFonts w:eastAsiaTheme="minorHAnsi" w:cstheme="minorBidi"/>
          <w:lang w:eastAsia="en-US"/>
        </w:rPr>
      </w:pPr>
      <w:r w:rsidRPr="002E2006">
        <w:rPr>
          <w:rFonts w:eastAsiaTheme="minorHAnsi" w:cstheme="minorBidi"/>
          <w:b/>
          <w:color w:val="FF0000"/>
          <w:lang w:eastAsia="en-US"/>
        </w:rPr>
        <w:t xml:space="preserve">Hinweis: </w:t>
      </w:r>
      <w:r w:rsidRPr="002E2006">
        <w:rPr>
          <w:rFonts w:eastAsiaTheme="minorHAnsi" w:cstheme="minorBidi"/>
          <w:color w:val="000000" w:themeColor="text1"/>
          <w:lang w:eastAsia="en-US"/>
        </w:rPr>
        <w:t xml:space="preserve">Aktuell gibt es noch </w:t>
      </w:r>
      <w:r w:rsidRPr="002E2006">
        <w:rPr>
          <w:rFonts w:eastAsiaTheme="minorHAnsi" w:cstheme="minorBidi"/>
          <w:color w:val="000000" w:themeColor="text1"/>
          <w:u w:val="single"/>
          <w:lang w:eastAsia="en-US"/>
        </w:rPr>
        <w:t>keine</w:t>
      </w:r>
      <w:r w:rsidRPr="002E2006">
        <w:rPr>
          <w:rFonts w:eastAsiaTheme="minorHAnsi" w:cstheme="minorBidi"/>
          <w:color w:val="000000" w:themeColor="text1"/>
          <w:lang w:eastAsia="en-US"/>
        </w:rPr>
        <w:t xml:space="preserve"> Regelung für Kurzzeitpflegeeinrichtungen. Hier besteht Handlungsbedarf auf Bundesebene. </w:t>
      </w:r>
    </w:p>
    <w:p w:rsidR="00096C23" w:rsidRDefault="00096C23" w:rsidP="002E2006">
      <w:pPr>
        <w:rPr>
          <w:rFonts w:eastAsiaTheme="minorHAnsi" w:cstheme="minorBidi"/>
          <w:lang w:eastAsia="en-US"/>
        </w:rPr>
      </w:pPr>
    </w:p>
    <w:p w:rsidR="002E2006" w:rsidRDefault="002E2006" w:rsidP="002E2006">
      <w:pPr>
        <w:rPr>
          <w:rFonts w:eastAsiaTheme="minorHAnsi" w:cstheme="minorBidi"/>
          <w:lang w:eastAsia="en-US"/>
        </w:rPr>
      </w:pPr>
      <w:r w:rsidRPr="002E2006">
        <w:rPr>
          <w:rFonts w:eastAsiaTheme="minorHAnsi" w:cstheme="minorBidi"/>
          <w:lang w:eastAsia="en-US"/>
        </w:rPr>
        <w:t xml:space="preserve">Mit dem Pflegestärkungsgesetz II hat der Gesetzgeber festgelegt, dass </w:t>
      </w:r>
      <w:r w:rsidR="008F38F9">
        <w:rPr>
          <w:rFonts w:eastAsiaTheme="minorHAnsi" w:cstheme="minorBidi"/>
          <w:lang w:eastAsia="en-US"/>
        </w:rPr>
        <w:t xml:space="preserve">im stationären Bereich </w:t>
      </w:r>
      <w:r w:rsidRPr="002E2006">
        <w:rPr>
          <w:rFonts w:eastAsiaTheme="minorHAnsi" w:cstheme="minorBidi"/>
          <w:lang w:eastAsia="en-US"/>
        </w:rPr>
        <w:t xml:space="preserve">alle Pflegesatzvereinbarungen zum 31.12.2016 enden. Damit müssen </w:t>
      </w:r>
      <w:r w:rsidRPr="002E2006">
        <w:rPr>
          <w:rFonts w:eastAsiaTheme="minorHAnsi" w:cstheme="minorBidi"/>
          <w:b/>
          <w:u w:val="single"/>
          <w:lang w:eastAsia="en-US"/>
        </w:rPr>
        <w:t>alle</w:t>
      </w:r>
      <w:r w:rsidRPr="002E2006">
        <w:rPr>
          <w:rFonts w:eastAsiaTheme="minorHAnsi" w:cstheme="minorBidi"/>
          <w:lang w:eastAsia="en-US"/>
        </w:rPr>
        <w:t xml:space="preserve"> stationären Einrichtungen </w:t>
      </w:r>
      <w:r w:rsidR="0077749C">
        <w:rPr>
          <w:rFonts w:eastAsiaTheme="minorHAnsi" w:cstheme="minorBidi"/>
          <w:lang w:eastAsia="en-US"/>
        </w:rPr>
        <w:t xml:space="preserve">2016 </w:t>
      </w:r>
      <w:r w:rsidRPr="002E2006">
        <w:rPr>
          <w:rFonts w:eastAsiaTheme="minorHAnsi" w:cstheme="minorBidi"/>
          <w:lang w:eastAsia="en-US"/>
        </w:rPr>
        <w:t>eine neue Pflegesatzvereinbarung, spätestens beginnend ab 1.1.2017, abschließen. Dabei muss beachtet werden, dass durch das Gesetz eine Reihe von Fristen einzuhalten sind.</w:t>
      </w:r>
    </w:p>
    <w:p w:rsidR="0077749C" w:rsidRDefault="0077749C" w:rsidP="002E2006">
      <w:pPr>
        <w:rPr>
          <w:rFonts w:eastAsiaTheme="minorHAnsi" w:cstheme="minorBidi"/>
          <w:lang w:eastAsia="en-US"/>
        </w:rPr>
      </w:pPr>
    </w:p>
    <w:p w:rsidR="002E2006" w:rsidRPr="002E2006" w:rsidRDefault="00725C36" w:rsidP="002E2006">
      <w:pPr>
        <w:rPr>
          <w:rFonts w:eastAsiaTheme="minorHAnsi" w:cstheme="minorBidi"/>
          <w:lang w:eastAsia="en-US"/>
        </w:rPr>
      </w:pPr>
      <w:r>
        <w:rPr>
          <w:noProof/>
        </w:rPr>
        <w:drawing>
          <wp:inline distT="0" distB="0" distL="0" distR="0" wp14:anchorId="39A38D7D" wp14:editId="7C2D55A0">
            <wp:extent cx="5759450" cy="2489200"/>
            <wp:effectExtent l="0" t="0" r="0" b="6350"/>
            <wp:docPr id="26"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5"/>
                    <pic:cNvPicPr>
                      <a:picLocks noChangeAspect="1"/>
                    </pic:cNvPicPr>
                  </pic:nvPicPr>
                  <pic:blipFill>
                    <a:blip r:embed="rId8"/>
                    <a:stretch>
                      <a:fillRect/>
                    </a:stretch>
                  </pic:blipFill>
                  <pic:spPr>
                    <a:xfrm>
                      <a:off x="0" y="0"/>
                      <a:ext cx="5759450" cy="2489200"/>
                    </a:xfrm>
                    <a:prstGeom prst="rect">
                      <a:avLst/>
                    </a:prstGeom>
                    <a:solidFill>
                      <a:schemeClr val="accent4">
                        <a:lumMod val="40000"/>
                        <a:lumOff val="60000"/>
                      </a:schemeClr>
                    </a:solidFill>
                  </pic:spPr>
                </pic:pic>
              </a:graphicData>
            </a:graphic>
          </wp:inline>
        </w:drawing>
      </w:r>
    </w:p>
    <w:p w:rsidR="00725C36" w:rsidRDefault="00725C36" w:rsidP="002E2006">
      <w:pPr>
        <w:rPr>
          <w:rFonts w:eastAsiaTheme="minorHAnsi" w:cstheme="minorBidi"/>
          <w:lang w:eastAsia="en-US"/>
        </w:rPr>
      </w:pPr>
    </w:p>
    <w:p w:rsidR="002E2006" w:rsidRPr="002E2006" w:rsidRDefault="0077749C" w:rsidP="002E2006">
      <w:pPr>
        <w:rPr>
          <w:rFonts w:eastAsiaTheme="minorHAnsi" w:cstheme="minorBidi"/>
          <w:lang w:eastAsia="en-US"/>
        </w:rPr>
      </w:pPr>
      <w:r>
        <w:rPr>
          <w:rFonts w:eastAsiaTheme="minorHAnsi" w:cstheme="minorBidi"/>
          <w:lang w:eastAsia="en-US"/>
        </w:rPr>
        <w:t>Es</w:t>
      </w:r>
      <w:r w:rsidR="002E2006" w:rsidRPr="002E2006">
        <w:rPr>
          <w:rFonts w:eastAsiaTheme="minorHAnsi" w:cstheme="minorBidi"/>
          <w:lang w:eastAsia="en-US"/>
        </w:rPr>
        <w:t xml:space="preserve"> stehen 3 Varianten zur Verfügung.</w:t>
      </w:r>
    </w:p>
    <w:p w:rsidR="002E2006" w:rsidRPr="002E2006" w:rsidRDefault="002E2006" w:rsidP="002E2006">
      <w:pPr>
        <w:rPr>
          <w:rFonts w:eastAsiaTheme="minorHAnsi" w:cstheme="minorBidi"/>
          <w:lang w:eastAsia="en-US"/>
        </w:rPr>
      </w:pPr>
    </w:p>
    <w:p w:rsidR="004F2C84" w:rsidRDefault="002E2006" w:rsidP="002E2006">
      <w:pPr>
        <w:numPr>
          <w:ilvl w:val="0"/>
          <w:numId w:val="2"/>
        </w:numPr>
        <w:contextualSpacing/>
        <w:rPr>
          <w:rFonts w:eastAsiaTheme="minorHAnsi" w:cstheme="minorBidi"/>
          <w:lang w:eastAsia="en-US"/>
        </w:rPr>
        <w:sectPr w:rsidR="004F2C84" w:rsidSect="00C6492E">
          <w:headerReference w:type="default" r:id="rId9"/>
          <w:footerReference w:type="default" r:id="rId10"/>
          <w:pgSz w:w="11906" w:h="16838" w:code="9"/>
          <w:pgMar w:top="2819" w:right="1418" w:bottom="1134" w:left="1418" w:header="357" w:footer="162" w:gutter="0"/>
          <w:cols w:space="708"/>
          <w:docGrid w:linePitch="360"/>
        </w:sectPr>
      </w:pPr>
      <w:r w:rsidRPr="002E2006">
        <w:rPr>
          <w:rFonts w:eastAsiaTheme="minorHAnsi" w:cstheme="minorBidi"/>
          <w:lang w:eastAsia="en-US"/>
        </w:rPr>
        <w:t xml:space="preserve">Die Pflegeeinrichtung entscheidet sich für die gesetzliche Umstellung. Damit werden die aktuellen Pflegesätze der einzelnen Pflegeeinrichtung nach der im Gesetz vorgegebenen Formel auf die Pflegegrade umgerechnet. Die Pflegeeinrichtung muss bis spätestens 31. Oktober 2016 die </w:t>
      </w:r>
      <w:r w:rsidRPr="002E2006">
        <w:rPr>
          <w:rFonts w:eastAsiaTheme="minorHAnsi" w:cstheme="minorBidi"/>
          <w:u w:val="single"/>
          <w:lang w:eastAsia="en-US"/>
        </w:rPr>
        <w:t>Stichtagsbelegung</w:t>
      </w:r>
      <w:r w:rsidRPr="002E2006">
        <w:rPr>
          <w:rFonts w:eastAsiaTheme="minorHAnsi" w:cstheme="minorBidi"/>
          <w:lang w:eastAsia="en-US"/>
        </w:rPr>
        <w:t xml:space="preserve"> vom 30. September 2016 an die Pflegekasse übermitteln. Dazu steht in den Antragsunterlagen die </w:t>
      </w:r>
      <w:r w:rsidRPr="00157816">
        <w:rPr>
          <w:rFonts w:eastAsiaTheme="minorHAnsi" w:cstheme="minorBidi"/>
          <w:b/>
          <w:color w:val="FF0000"/>
          <w:sz w:val="28"/>
          <w:szCs w:val="28"/>
          <w:lang w:eastAsia="en-US"/>
        </w:rPr>
        <w:t>Variante A</w:t>
      </w:r>
      <w:r w:rsidRPr="002E2006">
        <w:rPr>
          <w:rFonts w:eastAsiaTheme="minorHAnsi" w:cstheme="minorBidi"/>
          <w:lang w:eastAsia="en-US"/>
        </w:rPr>
        <w:t xml:space="preserve"> zur Verfügung. Es kommt nicht zu einer Vergütungserhöhung oder Personalmehrung. </w:t>
      </w:r>
      <w:r w:rsidR="00EA2EB2">
        <w:rPr>
          <w:rFonts w:eastAsiaTheme="minorHAnsi" w:cstheme="minorBidi"/>
          <w:lang w:eastAsia="en-US"/>
        </w:rPr>
        <w:t>Die Pflegeeinrichtung kann 2017 neue Einzelverhandlungen führen.</w:t>
      </w:r>
      <w:r w:rsidR="00725C36">
        <w:rPr>
          <w:rFonts w:eastAsiaTheme="minorHAnsi" w:cstheme="minorBidi"/>
          <w:lang w:eastAsia="en-US"/>
        </w:rPr>
        <w:br/>
      </w:r>
    </w:p>
    <w:p w:rsidR="002E2006" w:rsidRPr="002E2006" w:rsidRDefault="002E2006" w:rsidP="004D053D">
      <w:pPr>
        <w:numPr>
          <w:ilvl w:val="0"/>
          <w:numId w:val="2"/>
        </w:numPr>
        <w:contextualSpacing/>
        <w:rPr>
          <w:rFonts w:eastAsiaTheme="minorHAnsi" w:cstheme="minorBidi"/>
          <w:lang w:eastAsia="en-US"/>
        </w:rPr>
      </w:pPr>
      <w:r w:rsidRPr="002E2006">
        <w:rPr>
          <w:rFonts w:eastAsiaTheme="minorHAnsi" w:cstheme="minorBidi"/>
          <w:lang w:eastAsia="en-US"/>
        </w:rPr>
        <w:lastRenderedPageBreak/>
        <w:t xml:space="preserve">Sofern die aktuelle Pflegesatzvereinbarung in 2016 ausläuft, kann die Pflegeeinrichtung bis spätestens 19. August 2016 zu Einzelverhandlungen </w:t>
      </w:r>
      <w:r w:rsidR="00725C36" w:rsidRPr="004F2C84">
        <w:rPr>
          <w:rFonts w:eastAsiaTheme="minorHAnsi" w:cstheme="minorBidi"/>
          <w:lang w:eastAsia="en-US"/>
        </w:rPr>
        <w:t xml:space="preserve">nach der </w:t>
      </w:r>
      <w:r w:rsidR="00725C36" w:rsidRPr="00157816">
        <w:rPr>
          <w:rFonts w:eastAsiaTheme="minorHAnsi" w:cstheme="minorBidi"/>
          <w:b/>
          <w:color w:val="FF0000"/>
          <w:sz w:val="28"/>
          <w:szCs w:val="28"/>
          <w:lang w:eastAsia="en-US"/>
        </w:rPr>
        <w:t>Variante B</w:t>
      </w:r>
      <w:r w:rsidR="00725C36" w:rsidRPr="004F2C84">
        <w:rPr>
          <w:rFonts w:eastAsiaTheme="minorHAnsi" w:cstheme="minorBidi"/>
          <w:lang w:eastAsia="en-US"/>
        </w:rPr>
        <w:t xml:space="preserve"> </w:t>
      </w:r>
      <w:r w:rsidRPr="002E2006">
        <w:rPr>
          <w:rFonts w:eastAsiaTheme="minorHAnsi" w:cstheme="minorBidi"/>
          <w:lang w:eastAsia="en-US"/>
        </w:rPr>
        <w:t xml:space="preserve">auffordern. Der Termin ist auch dann einzuhalten, wenn die Vereinbarung danach ausläuft. Es kann entsprechend der Laufzeit ggf. noch eine neue Vereinbarung in 2016 oder ab 1.1.2017 geschlossen werden. </w:t>
      </w:r>
      <w:r w:rsidRPr="002E2006">
        <w:rPr>
          <w:rFonts w:eastAsiaTheme="minorHAnsi" w:cstheme="minorBidi"/>
          <w:lang w:eastAsia="en-US"/>
        </w:rPr>
        <w:br/>
        <w:t xml:space="preserve">Pflegeeinrichtungen die aktuell eine Laufzeit bis in 2017 hinein haben, können zu Einzelverhandlungen ab 1.1.2017 aufrufen. Bei dieser Entscheidung muss die Aufforderung mit den entsprechenden Unterlagen nach der Variante B auch spätestens bis 19. August 2016 bei den Kostenträgern sein. </w:t>
      </w:r>
      <w:r w:rsidR="00725C36" w:rsidRPr="004F2C84">
        <w:rPr>
          <w:rFonts w:eastAsiaTheme="minorHAnsi" w:cstheme="minorBidi"/>
          <w:lang w:eastAsia="en-US"/>
        </w:rPr>
        <w:br/>
      </w:r>
      <w:r w:rsidRPr="002E2006">
        <w:rPr>
          <w:rFonts w:eastAsiaTheme="minorHAnsi" w:cstheme="minorBidi"/>
          <w:lang w:eastAsia="en-US"/>
        </w:rPr>
        <w:t xml:space="preserve">Das grundsätzliche Herangehen entspricht dem bisherigen Verfahren der Einzelverhandlung. Die Unterlagen wurden dem PSG II angepasst. </w:t>
      </w:r>
      <w:r w:rsidRPr="002E2006">
        <w:rPr>
          <w:rFonts w:eastAsiaTheme="minorHAnsi" w:cstheme="minorBidi"/>
          <w:lang w:eastAsia="en-US"/>
        </w:rPr>
        <w:br/>
        <w:t xml:space="preserve">Sofern Einzelvereinbarungen mit Beginn in 2016 geschlossen werden, wird es in </w:t>
      </w:r>
      <w:r w:rsidRPr="002E2006">
        <w:rPr>
          <w:rFonts w:eastAsiaTheme="minorHAnsi" w:cstheme="minorBidi"/>
          <w:u w:val="single"/>
          <w:lang w:eastAsia="en-US"/>
        </w:rPr>
        <w:t>einer</w:t>
      </w:r>
      <w:r w:rsidRPr="002E2006">
        <w:rPr>
          <w:rFonts w:eastAsiaTheme="minorHAnsi" w:cstheme="minorBidi"/>
          <w:lang w:eastAsia="en-US"/>
        </w:rPr>
        <w:t xml:space="preserve"> Verhandlung eine Vereinbarung bis 31.12.2016 und eine weitere Vereinbarung ab 1.1.2017 geben.</w:t>
      </w:r>
      <w:r w:rsidR="004F2C84">
        <w:rPr>
          <w:rFonts w:eastAsiaTheme="minorHAnsi" w:cstheme="minorBidi"/>
          <w:lang w:eastAsia="en-US"/>
        </w:rPr>
        <w:br/>
      </w:r>
      <w:r w:rsidRPr="002E2006">
        <w:rPr>
          <w:rFonts w:eastAsiaTheme="minorHAnsi" w:cstheme="minorBidi"/>
          <w:lang w:eastAsia="en-US"/>
        </w:rPr>
        <w:t xml:space="preserve">So wie es aus den bisherigen Verhandlungen bekannt ist, ist hier das Ergebnis offen. </w:t>
      </w:r>
      <w:r w:rsidR="00725C36" w:rsidRPr="004F2C84">
        <w:rPr>
          <w:rFonts w:eastAsiaTheme="minorHAnsi" w:cstheme="minorBidi"/>
          <w:lang w:eastAsia="en-US"/>
        </w:rPr>
        <w:br/>
      </w:r>
      <w:r w:rsidR="00725C36" w:rsidRPr="004F2C84">
        <w:rPr>
          <w:rFonts w:eastAsiaTheme="minorHAnsi" w:cstheme="minorBidi"/>
          <w:lang w:eastAsia="en-US"/>
        </w:rPr>
        <w:br/>
      </w:r>
      <w:r w:rsidRPr="002E2006">
        <w:rPr>
          <w:rFonts w:eastAsiaTheme="minorHAnsi" w:cstheme="minorBidi"/>
          <w:lang w:eastAsia="en-US"/>
        </w:rPr>
        <w:t>Die Variante B stellt für neue Pflegeeinrichtungen bei der ersten Verhandlung die alleinige Grundlage dar.</w:t>
      </w:r>
      <w:r w:rsidR="00725C36" w:rsidRPr="004F2C84">
        <w:rPr>
          <w:rFonts w:eastAsiaTheme="minorHAnsi" w:cstheme="minorBidi"/>
          <w:lang w:eastAsia="en-US"/>
        </w:rPr>
        <w:br/>
      </w:r>
      <w:r w:rsidRPr="002E2006">
        <w:rPr>
          <w:rFonts w:eastAsiaTheme="minorHAnsi" w:cstheme="minorBidi"/>
          <w:lang w:eastAsia="en-US"/>
        </w:rPr>
        <w:t xml:space="preserve"> </w:t>
      </w:r>
    </w:p>
    <w:p w:rsidR="002E2006" w:rsidRPr="002E2006" w:rsidRDefault="002E2006" w:rsidP="002E2006">
      <w:pPr>
        <w:numPr>
          <w:ilvl w:val="0"/>
          <w:numId w:val="2"/>
        </w:numPr>
        <w:contextualSpacing/>
        <w:rPr>
          <w:rFonts w:eastAsiaTheme="minorHAnsi" w:cstheme="minorBidi"/>
          <w:lang w:eastAsia="en-US"/>
        </w:rPr>
      </w:pPr>
      <w:r w:rsidRPr="002E2006">
        <w:rPr>
          <w:rFonts w:eastAsiaTheme="minorHAnsi" w:cstheme="minorBidi"/>
          <w:lang w:eastAsia="en-US"/>
        </w:rPr>
        <w:t>Unter dem Kompromiss einer mindestens 12-monatigen Laufzeit</w:t>
      </w:r>
      <w:r w:rsidR="00EA2EB2">
        <w:rPr>
          <w:rFonts w:eastAsiaTheme="minorHAnsi" w:cstheme="minorBidi"/>
          <w:lang w:eastAsia="en-US"/>
        </w:rPr>
        <w:t xml:space="preserve"> und</w:t>
      </w:r>
      <w:r w:rsidR="00AE5EAB">
        <w:rPr>
          <w:rFonts w:eastAsiaTheme="minorHAnsi" w:cstheme="minorBidi"/>
          <w:lang w:eastAsia="en-US"/>
        </w:rPr>
        <w:t xml:space="preserve"> mindestens bis 30. Juni 2016</w:t>
      </w:r>
      <w:r w:rsidRPr="002E2006">
        <w:rPr>
          <w:rFonts w:eastAsiaTheme="minorHAnsi" w:cstheme="minorBidi"/>
          <w:lang w:eastAsia="en-US"/>
        </w:rPr>
        <w:t xml:space="preserve"> können sich die Pflegeeinrichtungen für die Teilnahme an einem pauschalen vereinfachten Verfahren nach der </w:t>
      </w:r>
      <w:r w:rsidRPr="00157816">
        <w:rPr>
          <w:rFonts w:eastAsiaTheme="minorHAnsi" w:cstheme="minorBidi"/>
          <w:b/>
          <w:color w:val="FF0000"/>
          <w:sz w:val="28"/>
          <w:szCs w:val="28"/>
          <w:lang w:eastAsia="en-US"/>
        </w:rPr>
        <w:t>Variante C</w:t>
      </w:r>
      <w:r w:rsidRPr="002E2006">
        <w:rPr>
          <w:rFonts w:eastAsiaTheme="minorHAnsi" w:cstheme="minorBidi"/>
          <w:lang w:eastAsia="en-US"/>
        </w:rPr>
        <w:t xml:space="preserve"> entscheiden. Der Beginn ist abhängig von der aktuellen Laufzeit und der Antragstellung. Es gibt eine prozentuale Steigerung der Sachkosten von 3 % pro Jahr, einen einmaligen Risikozuschlag von 4 % für die Umstellung von Pflegestufen auf Pflegegrade ab 1.1.2017 und terminlich gleichlautend die Erhöhung der Personalschlüssel Pflege in der Relation von 1 zu 50 mit Ausgleich der Personalkosten. Bedingung ist natürlich die Vorhaltung des Mehrpersonals ab 1.1.2017. Bei kleineren Pflegeeinrichtungen spricht das eher für eine Ausdehnung der Arbeitszeit der bisherigen Teilzeitkräfte in der Pflege. Bei größeren Pflegeeinrichtungen können ggf. neue Arbeitsplätze geschaffen werden.</w:t>
      </w:r>
      <w:r w:rsidRPr="002E2006">
        <w:rPr>
          <w:rFonts w:eastAsiaTheme="minorHAnsi" w:cstheme="minorBidi"/>
          <w:lang w:eastAsia="en-US"/>
        </w:rPr>
        <w:br/>
        <w:t xml:space="preserve">Auch für die Variante C muss sich die Pflegeeinrichtung bis August entscheiden. Diese Variante ist ein Gesamtangebot und kann nicht aufgespalten werden. </w:t>
      </w:r>
    </w:p>
    <w:p w:rsidR="002E2006" w:rsidRPr="002E2006" w:rsidRDefault="002E2006" w:rsidP="002E2006">
      <w:pPr>
        <w:rPr>
          <w:rFonts w:eastAsiaTheme="minorHAnsi" w:cstheme="minorBidi"/>
          <w:lang w:eastAsia="en-US"/>
        </w:rPr>
      </w:pPr>
    </w:p>
    <w:p w:rsidR="002E2006" w:rsidRPr="002E2006" w:rsidRDefault="002E2006" w:rsidP="002E2006">
      <w:pPr>
        <w:rPr>
          <w:rFonts w:eastAsiaTheme="minorHAnsi" w:cstheme="minorBidi"/>
          <w:lang w:eastAsia="en-US"/>
        </w:rPr>
      </w:pPr>
      <w:r w:rsidRPr="002E2006">
        <w:rPr>
          <w:rFonts w:eastAsiaTheme="minorHAnsi" w:cstheme="minorBidi"/>
          <w:lang w:eastAsia="en-US"/>
        </w:rPr>
        <w:t xml:space="preserve">Bei den Varianten B und C muss das </w:t>
      </w:r>
      <w:r w:rsidRPr="002E2006">
        <w:rPr>
          <w:rFonts w:eastAsiaTheme="minorHAnsi" w:cstheme="minorBidi"/>
          <w:u w:val="single"/>
          <w:lang w:eastAsia="en-US"/>
        </w:rPr>
        <w:t>Pflegeheim</w:t>
      </w:r>
      <w:r w:rsidRPr="002E2006">
        <w:rPr>
          <w:rFonts w:eastAsiaTheme="minorHAnsi" w:cstheme="minorBidi"/>
          <w:lang w:eastAsia="en-US"/>
        </w:rPr>
        <w:t xml:space="preserve"> beachten, dass den Verhandlungsunterlagen eine Stellungnahme des Bewohnerbeirats / Bewohnerfürsprechers beizufügen ist.</w:t>
      </w:r>
      <w:r w:rsidRPr="002E2006">
        <w:rPr>
          <w:rFonts w:eastAsiaTheme="minorHAnsi" w:cstheme="minorBidi"/>
          <w:lang w:eastAsia="en-US"/>
        </w:rPr>
        <w:br/>
      </w:r>
    </w:p>
    <w:p w:rsidR="002E2006" w:rsidRPr="002E2006" w:rsidRDefault="002E2006" w:rsidP="002E2006">
      <w:pPr>
        <w:rPr>
          <w:rFonts w:eastAsiaTheme="minorHAnsi" w:cstheme="minorBidi"/>
          <w:lang w:eastAsia="en-US"/>
        </w:rPr>
      </w:pPr>
      <w:r w:rsidRPr="002E2006">
        <w:rPr>
          <w:rFonts w:eastAsiaTheme="minorHAnsi" w:cstheme="minorBidi"/>
          <w:lang w:eastAsia="en-US"/>
        </w:rPr>
        <w:t xml:space="preserve">Die Herangehensweise unterscheidet sich zwischen Pflegeheim und teilstationären Pflegeeinrichtungen nicht. Allerdings sind die Berechnungsgrundlagen durch das PSG II unterschiedlich. </w:t>
      </w:r>
      <w:r w:rsidR="00EA2EB2">
        <w:rPr>
          <w:rFonts w:eastAsiaTheme="minorHAnsi" w:cstheme="minorBidi"/>
          <w:lang w:eastAsia="en-US"/>
        </w:rPr>
        <w:br/>
      </w:r>
      <w:r w:rsidRPr="002E2006">
        <w:rPr>
          <w:rFonts w:eastAsiaTheme="minorHAnsi" w:cstheme="minorBidi"/>
          <w:lang w:eastAsia="en-US"/>
        </w:rPr>
        <w:t xml:space="preserve">Den einheitlichen Eigenanteil und die damit verbundenen Besitzstandsregelungen gibt es nur für Pflegeheime. </w:t>
      </w:r>
      <w:r w:rsidR="00EA2EB2">
        <w:rPr>
          <w:rFonts w:eastAsiaTheme="minorHAnsi" w:cstheme="minorBidi"/>
          <w:lang w:eastAsia="en-US"/>
        </w:rPr>
        <w:br/>
      </w:r>
      <w:r w:rsidRPr="002E2006">
        <w:rPr>
          <w:rFonts w:eastAsiaTheme="minorHAnsi" w:cstheme="minorBidi"/>
          <w:lang w:eastAsia="en-US"/>
        </w:rPr>
        <w:t xml:space="preserve">Die Ermittlung der Personalschlüssel nach Pflegegraden auf der Grundlage der bisherigen Personalschlüssel nach Pflegestufen erfolgt nach unterschiedlichen Äquivalenzzahlen. Für teilstationäre Pflegeeinrichtungen hat diese der Gesetzgeber vorgegeben. Bei Pflegeheimen haben wir uns für die Äquivalenzzahlen nach der Rothgang-Studie entschieden. </w:t>
      </w:r>
    </w:p>
    <w:p w:rsidR="002E2006" w:rsidRPr="002E2006" w:rsidRDefault="002E2006" w:rsidP="002E2006">
      <w:pPr>
        <w:rPr>
          <w:rFonts w:eastAsiaTheme="minorHAnsi" w:cstheme="minorBidi"/>
          <w:lang w:eastAsia="en-US"/>
        </w:rPr>
      </w:pPr>
    </w:p>
    <w:p w:rsidR="002E2006" w:rsidRPr="002E2006" w:rsidRDefault="002E2006" w:rsidP="002E2006">
      <w:pPr>
        <w:rPr>
          <w:rFonts w:eastAsiaTheme="minorHAnsi" w:cstheme="minorBidi"/>
          <w:lang w:eastAsia="en-US"/>
        </w:rPr>
      </w:pPr>
      <w:r w:rsidRPr="002E2006">
        <w:rPr>
          <w:rFonts w:eastAsiaTheme="minorHAnsi" w:cstheme="minorBidi"/>
          <w:lang w:eastAsia="en-US"/>
        </w:rPr>
        <w:t>Sollte sich eine Pflegeeinrichtung bis 31. Oktober 2016 für keine Variante entschieden haben, hat der Gesetzgeber eine Schätzung der Pflegesätze ab 1. Januar 2017 durch die Kostenträger vorgesehen.</w:t>
      </w:r>
    </w:p>
    <w:p w:rsidR="00CA78BC" w:rsidRDefault="00CA78BC" w:rsidP="002E2006">
      <w:pPr>
        <w:rPr>
          <w:rFonts w:eastAsiaTheme="minorHAnsi" w:cstheme="minorBidi"/>
          <w:lang w:eastAsia="en-US"/>
        </w:rPr>
      </w:pPr>
      <w:r>
        <w:rPr>
          <w:rFonts w:eastAsiaTheme="minorHAnsi" w:cstheme="minorBidi"/>
          <w:lang w:eastAsia="en-US"/>
        </w:rPr>
        <w:br w:type="page"/>
      </w:r>
    </w:p>
    <w:p w:rsidR="002E2006" w:rsidRDefault="002E2006" w:rsidP="002E2006">
      <w:pPr>
        <w:rPr>
          <w:rFonts w:eastAsiaTheme="minorHAnsi" w:cstheme="minorBidi"/>
          <w:lang w:eastAsia="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2126"/>
        <w:gridCol w:w="1418"/>
        <w:gridCol w:w="1559"/>
      </w:tblGrid>
      <w:tr w:rsidR="00CA78BC" w:rsidRPr="00CA78BC" w:rsidTr="00AD451F">
        <w:trPr>
          <w:trHeight w:val="20"/>
        </w:trPr>
        <w:tc>
          <w:tcPr>
            <w:tcW w:w="3681" w:type="dxa"/>
            <w:shd w:val="clear" w:color="auto" w:fill="auto"/>
            <w:vAlign w:val="bottom"/>
          </w:tcPr>
          <w:p w:rsidR="00CA78BC" w:rsidRPr="00CA78BC" w:rsidRDefault="00CA78BC" w:rsidP="00CA78BC">
            <w:pPr>
              <w:rPr>
                <w:rFonts w:cs="Arial"/>
                <w:b/>
              </w:rPr>
            </w:pPr>
            <w:r w:rsidRPr="00CA78BC">
              <w:rPr>
                <w:rFonts w:cs="Arial"/>
                <w:b/>
              </w:rPr>
              <w:t>Variante C</w:t>
            </w:r>
          </w:p>
        </w:tc>
        <w:tc>
          <w:tcPr>
            <w:tcW w:w="5103" w:type="dxa"/>
            <w:gridSpan w:val="3"/>
            <w:shd w:val="clear" w:color="auto" w:fill="auto"/>
            <w:vAlign w:val="bottom"/>
          </w:tcPr>
          <w:p w:rsidR="00CA78BC" w:rsidRPr="00CA78BC" w:rsidRDefault="00CA78BC" w:rsidP="00CA78BC">
            <w:pPr>
              <w:jc w:val="center"/>
              <w:rPr>
                <w:rFonts w:cs="Arial"/>
                <w:b/>
                <w:color w:val="000000"/>
              </w:rPr>
            </w:pPr>
            <w:r w:rsidRPr="00CA78BC">
              <w:rPr>
                <w:rFonts w:cs="Arial"/>
                <w:b/>
                <w:color w:val="000000"/>
              </w:rPr>
              <w:t>Beispiel 1</w:t>
            </w:r>
          </w:p>
        </w:tc>
      </w:tr>
      <w:tr w:rsidR="00CA78BC" w:rsidRPr="00CA78BC" w:rsidTr="00AD451F">
        <w:trPr>
          <w:trHeight w:val="20"/>
        </w:trPr>
        <w:tc>
          <w:tcPr>
            <w:tcW w:w="3681" w:type="dxa"/>
            <w:vMerge w:val="restart"/>
            <w:shd w:val="clear" w:color="auto" w:fill="auto"/>
            <w:vAlign w:val="center"/>
            <w:hideMark/>
          </w:tcPr>
          <w:p w:rsidR="00CA78BC" w:rsidRPr="00CA78BC" w:rsidRDefault="00CA78BC" w:rsidP="00CA78BC">
            <w:pPr>
              <w:rPr>
                <w:rFonts w:cs="Arial"/>
              </w:rPr>
            </w:pPr>
          </w:p>
        </w:tc>
        <w:tc>
          <w:tcPr>
            <w:tcW w:w="5103" w:type="dxa"/>
            <w:gridSpan w:val="3"/>
            <w:shd w:val="clear" w:color="auto" w:fill="auto"/>
            <w:vAlign w:val="center"/>
            <w:hideMark/>
          </w:tcPr>
          <w:p w:rsidR="00CA78BC" w:rsidRPr="00CA78BC" w:rsidRDefault="00CA78BC" w:rsidP="00CA78BC">
            <w:pPr>
              <w:rPr>
                <w:rFonts w:cs="Arial"/>
                <w:color w:val="000000"/>
              </w:rPr>
            </w:pPr>
            <w:r w:rsidRPr="00CA78BC">
              <w:rPr>
                <w:rFonts w:cs="Arial"/>
                <w:color w:val="000000"/>
              </w:rPr>
              <w:t xml:space="preserve">Laufzeitende </w:t>
            </w:r>
            <w:r w:rsidRPr="00CA78BC">
              <w:rPr>
                <w:rFonts w:cs="Arial"/>
                <w:color w:val="FF0000"/>
              </w:rPr>
              <w:t>31. Mai 2016</w:t>
            </w:r>
          </w:p>
        </w:tc>
      </w:tr>
      <w:tr w:rsidR="00CA78BC" w:rsidRPr="00CA78BC" w:rsidTr="00AD451F">
        <w:trPr>
          <w:trHeight w:val="20"/>
        </w:trPr>
        <w:tc>
          <w:tcPr>
            <w:tcW w:w="3681" w:type="dxa"/>
            <w:vMerge/>
            <w:shd w:val="clear" w:color="auto" w:fill="auto"/>
            <w:vAlign w:val="center"/>
            <w:hideMark/>
          </w:tcPr>
          <w:p w:rsidR="00CA78BC" w:rsidRPr="00CA78BC" w:rsidRDefault="00CA78BC" w:rsidP="00CA78BC">
            <w:pPr>
              <w:rPr>
                <w:rFonts w:cs="Arial"/>
              </w:rPr>
            </w:pPr>
          </w:p>
        </w:tc>
        <w:tc>
          <w:tcPr>
            <w:tcW w:w="5103" w:type="dxa"/>
            <w:gridSpan w:val="3"/>
            <w:shd w:val="clear" w:color="auto" w:fill="auto"/>
            <w:vAlign w:val="center"/>
            <w:hideMark/>
          </w:tcPr>
          <w:p w:rsidR="00CA78BC" w:rsidRPr="00CA78BC" w:rsidRDefault="00CA78BC" w:rsidP="00CA78BC">
            <w:pPr>
              <w:rPr>
                <w:rFonts w:cs="Arial"/>
                <w:color w:val="000000"/>
              </w:rPr>
            </w:pPr>
            <w:r w:rsidRPr="00CA78BC">
              <w:rPr>
                <w:rFonts w:cs="Arial"/>
                <w:color w:val="000000"/>
              </w:rPr>
              <w:t>Aufforderung zum 1. Juni 2016</w:t>
            </w:r>
          </w:p>
        </w:tc>
      </w:tr>
      <w:tr w:rsidR="00CA78BC" w:rsidRPr="00CA78BC" w:rsidTr="00AD451F">
        <w:trPr>
          <w:trHeight w:val="20"/>
        </w:trPr>
        <w:tc>
          <w:tcPr>
            <w:tcW w:w="3681" w:type="dxa"/>
            <w:vMerge/>
            <w:shd w:val="clear" w:color="auto" w:fill="auto"/>
            <w:vAlign w:val="center"/>
            <w:hideMark/>
          </w:tcPr>
          <w:p w:rsidR="00CA78BC" w:rsidRPr="00CA78BC" w:rsidRDefault="00CA78BC" w:rsidP="00CA78BC">
            <w:pPr>
              <w:rPr>
                <w:rFonts w:cs="Arial"/>
              </w:rPr>
            </w:pPr>
          </w:p>
        </w:tc>
        <w:tc>
          <w:tcPr>
            <w:tcW w:w="5103" w:type="dxa"/>
            <w:gridSpan w:val="3"/>
            <w:shd w:val="clear" w:color="auto" w:fill="auto"/>
            <w:vAlign w:val="center"/>
            <w:hideMark/>
          </w:tcPr>
          <w:p w:rsidR="00CA78BC" w:rsidRPr="00CA78BC" w:rsidRDefault="00CA78BC" w:rsidP="00CA78BC">
            <w:pPr>
              <w:rPr>
                <w:rFonts w:cs="Arial"/>
                <w:color w:val="000000"/>
              </w:rPr>
            </w:pPr>
            <w:r w:rsidRPr="00CA78BC">
              <w:rPr>
                <w:rFonts w:cs="Arial"/>
                <w:color w:val="000000"/>
              </w:rPr>
              <w:t>Laufzeit mindestens bis 30. Juni 2017</w:t>
            </w:r>
          </w:p>
        </w:tc>
      </w:tr>
      <w:tr w:rsidR="00CA78BC" w:rsidRPr="00CA78BC" w:rsidTr="00AD451F">
        <w:trPr>
          <w:trHeight w:val="20"/>
        </w:trPr>
        <w:tc>
          <w:tcPr>
            <w:tcW w:w="3681" w:type="dxa"/>
            <w:vMerge/>
            <w:shd w:val="clear" w:color="auto" w:fill="auto"/>
            <w:vAlign w:val="center"/>
            <w:hideMark/>
          </w:tcPr>
          <w:p w:rsidR="00CA78BC" w:rsidRPr="00CA78BC" w:rsidRDefault="00CA78BC" w:rsidP="00CA78BC">
            <w:pPr>
              <w:rPr>
                <w:rFonts w:cs="Arial"/>
              </w:rPr>
            </w:pPr>
          </w:p>
        </w:tc>
        <w:tc>
          <w:tcPr>
            <w:tcW w:w="5103" w:type="dxa"/>
            <w:gridSpan w:val="3"/>
            <w:shd w:val="clear" w:color="auto" w:fill="auto"/>
            <w:vAlign w:val="center"/>
            <w:hideMark/>
          </w:tcPr>
          <w:p w:rsidR="00CA78BC" w:rsidRPr="00CA78BC" w:rsidRDefault="00CA78BC" w:rsidP="00CA78BC">
            <w:pPr>
              <w:rPr>
                <w:rFonts w:cs="Arial"/>
                <w:color w:val="000000"/>
              </w:rPr>
            </w:pPr>
            <w:r w:rsidRPr="00CA78BC">
              <w:rPr>
                <w:rFonts w:cs="Arial"/>
                <w:color w:val="000000"/>
              </w:rPr>
              <w:t xml:space="preserve">Gesamtdauer </w:t>
            </w:r>
            <w:r w:rsidRPr="00CA78BC">
              <w:rPr>
                <w:rFonts w:cs="Arial"/>
                <w:color w:val="000000"/>
              </w:rPr>
              <w:sym w:font="Wingdings" w:char="F0E0"/>
            </w:r>
            <w:r w:rsidRPr="00CA78BC">
              <w:rPr>
                <w:rFonts w:cs="Arial"/>
                <w:color w:val="000000"/>
              </w:rPr>
              <w:t xml:space="preserve"> 13 Monate</w:t>
            </w:r>
          </w:p>
        </w:tc>
      </w:tr>
      <w:tr w:rsidR="00CA78BC" w:rsidRPr="00CA78BC" w:rsidTr="00AD451F">
        <w:trPr>
          <w:trHeight w:val="20"/>
        </w:trPr>
        <w:tc>
          <w:tcPr>
            <w:tcW w:w="3681" w:type="dxa"/>
            <w:shd w:val="clear" w:color="auto" w:fill="auto"/>
            <w:vAlign w:val="center"/>
            <w:hideMark/>
          </w:tcPr>
          <w:p w:rsidR="00CA78BC" w:rsidRPr="00CA78BC" w:rsidRDefault="00CA78BC" w:rsidP="00CA78BC">
            <w:pPr>
              <w:rPr>
                <w:rFonts w:cs="Arial"/>
                <w:color w:val="000000"/>
              </w:rPr>
            </w:pPr>
            <w:r w:rsidRPr="00CA78BC">
              <w:rPr>
                <w:rFonts w:cs="Arial"/>
                <w:color w:val="000000"/>
              </w:rPr>
              <w:t>Sachkosten 3 % / Jahr</w:t>
            </w:r>
          </w:p>
        </w:tc>
        <w:tc>
          <w:tcPr>
            <w:tcW w:w="2126" w:type="dxa"/>
            <w:shd w:val="clear" w:color="auto" w:fill="auto"/>
            <w:vAlign w:val="center"/>
            <w:hideMark/>
          </w:tcPr>
          <w:p w:rsidR="00CA78BC" w:rsidRPr="00CA78BC" w:rsidRDefault="00CA78BC" w:rsidP="00CA78BC">
            <w:pPr>
              <w:rPr>
                <w:rFonts w:cs="Arial"/>
                <w:color w:val="000000"/>
              </w:rPr>
            </w:pPr>
            <w:r w:rsidRPr="00CA78BC">
              <w:rPr>
                <w:rFonts w:cs="Arial"/>
                <w:color w:val="000000"/>
              </w:rPr>
              <w:t xml:space="preserve">3/12*13 = 3,25 % </w:t>
            </w:r>
          </w:p>
        </w:tc>
        <w:tc>
          <w:tcPr>
            <w:tcW w:w="1418" w:type="dxa"/>
            <w:shd w:val="clear" w:color="auto" w:fill="auto"/>
            <w:vAlign w:val="center"/>
          </w:tcPr>
          <w:p w:rsidR="00CA78BC" w:rsidRPr="00CA78BC" w:rsidRDefault="00CA78BC" w:rsidP="00CA78BC">
            <w:pPr>
              <w:jc w:val="right"/>
              <w:rPr>
                <w:rFonts w:cs="Arial"/>
                <w:color w:val="000000"/>
              </w:rPr>
            </w:pPr>
            <w:r w:rsidRPr="00CA78BC">
              <w:rPr>
                <w:rFonts w:cs="Arial"/>
                <w:color w:val="000000"/>
              </w:rPr>
              <w:t>3,25 %</w:t>
            </w:r>
          </w:p>
        </w:tc>
        <w:tc>
          <w:tcPr>
            <w:tcW w:w="1559" w:type="dxa"/>
            <w:shd w:val="clear" w:color="auto" w:fill="auto"/>
            <w:vAlign w:val="center"/>
            <w:hideMark/>
          </w:tcPr>
          <w:p w:rsidR="00CA78BC" w:rsidRPr="00CA78BC" w:rsidRDefault="00CA78BC" w:rsidP="00CA78BC">
            <w:pPr>
              <w:rPr>
                <w:rFonts w:cs="Arial"/>
                <w:color w:val="000000"/>
              </w:rPr>
            </w:pPr>
            <w:r w:rsidRPr="00CA78BC">
              <w:rPr>
                <w:rFonts w:cs="Arial"/>
                <w:color w:val="000000"/>
              </w:rPr>
              <w:t>über alles ab 1.6.16</w:t>
            </w:r>
          </w:p>
        </w:tc>
      </w:tr>
      <w:tr w:rsidR="00CA78BC" w:rsidRPr="00CA78BC" w:rsidTr="00AD451F">
        <w:trPr>
          <w:trHeight w:val="20"/>
        </w:trPr>
        <w:tc>
          <w:tcPr>
            <w:tcW w:w="3681" w:type="dxa"/>
            <w:shd w:val="clear" w:color="auto" w:fill="auto"/>
            <w:vAlign w:val="center"/>
            <w:hideMark/>
          </w:tcPr>
          <w:p w:rsidR="00CA78BC" w:rsidRPr="00CA78BC" w:rsidRDefault="00CA78BC" w:rsidP="00CA78BC">
            <w:pPr>
              <w:rPr>
                <w:rFonts w:cs="Arial"/>
                <w:color w:val="000000"/>
              </w:rPr>
            </w:pPr>
            <w:r w:rsidRPr="00CA78BC">
              <w:rPr>
                <w:rFonts w:cs="Arial"/>
                <w:color w:val="000000"/>
              </w:rPr>
              <w:t>Risikozuschlag PSG II einmalig 4 %</w:t>
            </w:r>
          </w:p>
        </w:tc>
        <w:tc>
          <w:tcPr>
            <w:tcW w:w="2126" w:type="dxa"/>
            <w:shd w:val="clear" w:color="auto" w:fill="auto"/>
            <w:vAlign w:val="center"/>
            <w:hideMark/>
          </w:tcPr>
          <w:p w:rsidR="00CA78BC" w:rsidRPr="00CA78BC" w:rsidRDefault="00CA78BC" w:rsidP="00CA78BC">
            <w:pPr>
              <w:jc w:val="right"/>
              <w:rPr>
                <w:rFonts w:cs="Arial"/>
                <w:color w:val="000000"/>
              </w:rPr>
            </w:pPr>
          </w:p>
        </w:tc>
        <w:tc>
          <w:tcPr>
            <w:tcW w:w="1418" w:type="dxa"/>
            <w:shd w:val="clear" w:color="auto" w:fill="auto"/>
            <w:vAlign w:val="center"/>
          </w:tcPr>
          <w:p w:rsidR="00CA78BC" w:rsidRPr="00CA78BC" w:rsidRDefault="00CA78BC" w:rsidP="00CA78BC">
            <w:pPr>
              <w:jc w:val="right"/>
              <w:rPr>
                <w:rFonts w:cs="Arial"/>
                <w:color w:val="000000"/>
              </w:rPr>
            </w:pPr>
            <w:r w:rsidRPr="00CA78BC">
              <w:rPr>
                <w:rFonts w:cs="Arial"/>
                <w:color w:val="000000"/>
              </w:rPr>
              <w:t>4,0 %</w:t>
            </w:r>
          </w:p>
        </w:tc>
        <w:tc>
          <w:tcPr>
            <w:tcW w:w="1559" w:type="dxa"/>
            <w:shd w:val="clear" w:color="auto" w:fill="auto"/>
            <w:vAlign w:val="center"/>
            <w:hideMark/>
          </w:tcPr>
          <w:p w:rsidR="00CA78BC" w:rsidRPr="00CA78BC" w:rsidRDefault="00CA78BC" w:rsidP="00CA78BC">
            <w:pPr>
              <w:rPr>
                <w:rFonts w:cs="Arial"/>
                <w:color w:val="000000"/>
              </w:rPr>
            </w:pPr>
            <w:r w:rsidRPr="00CA78BC">
              <w:rPr>
                <w:rFonts w:cs="Arial"/>
                <w:color w:val="000000"/>
              </w:rPr>
              <w:t>über alles ab 1.1.17</w:t>
            </w:r>
          </w:p>
        </w:tc>
      </w:tr>
      <w:tr w:rsidR="00CA78BC" w:rsidRPr="00CA78BC" w:rsidTr="00AD451F">
        <w:trPr>
          <w:trHeight w:val="20"/>
        </w:trPr>
        <w:tc>
          <w:tcPr>
            <w:tcW w:w="3681" w:type="dxa"/>
            <w:shd w:val="clear" w:color="auto" w:fill="auto"/>
            <w:vAlign w:val="center"/>
          </w:tcPr>
          <w:p w:rsidR="00CA78BC" w:rsidRPr="00CA78BC" w:rsidRDefault="00CA78BC" w:rsidP="00CA78BC">
            <w:pPr>
              <w:rPr>
                <w:rFonts w:cs="Arial"/>
                <w:color w:val="000000"/>
              </w:rPr>
            </w:pPr>
            <w:r w:rsidRPr="00CA78BC">
              <w:rPr>
                <w:rFonts w:cs="Arial"/>
                <w:color w:val="000000"/>
              </w:rPr>
              <w:t>Aufstockung Personal Pflege</w:t>
            </w:r>
          </w:p>
        </w:tc>
        <w:tc>
          <w:tcPr>
            <w:tcW w:w="2126" w:type="dxa"/>
            <w:shd w:val="clear" w:color="auto" w:fill="auto"/>
            <w:vAlign w:val="center"/>
          </w:tcPr>
          <w:p w:rsidR="00CA78BC" w:rsidRPr="00CA78BC" w:rsidRDefault="00CA78BC" w:rsidP="00CA78BC">
            <w:pPr>
              <w:jc w:val="right"/>
              <w:rPr>
                <w:rFonts w:cs="Arial"/>
                <w:color w:val="000000"/>
              </w:rPr>
            </w:pPr>
            <w:r w:rsidRPr="00CA78BC">
              <w:rPr>
                <w:rFonts w:cs="Arial"/>
                <w:color w:val="000000"/>
              </w:rPr>
              <w:t>1 zu 50</w:t>
            </w:r>
          </w:p>
        </w:tc>
        <w:tc>
          <w:tcPr>
            <w:tcW w:w="1418" w:type="dxa"/>
            <w:shd w:val="clear" w:color="auto" w:fill="auto"/>
            <w:vAlign w:val="center"/>
          </w:tcPr>
          <w:p w:rsidR="00CA78BC" w:rsidRPr="00CA78BC" w:rsidRDefault="00CA78BC" w:rsidP="00CA78BC">
            <w:pPr>
              <w:jc w:val="right"/>
              <w:rPr>
                <w:rFonts w:cs="Arial"/>
                <w:color w:val="000000"/>
              </w:rPr>
            </w:pPr>
          </w:p>
        </w:tc>
        <w:tc>
          <w:tcPr>
            <w:tcW w:w="1559" w:type="dxa"/>
            <w:shd w:val="clear" w:color="auto" w:fill="auto"/>
            <w:vAlign w:val="center"/>
          </w:tcPr>
          <w:p w:rsidR="00CA78BC" w:rsidRPr="00CA78BC" w:rsidRDefault="00CA78BC" w:rsidP="00CA78BC">
            <w:pPr>
              <w:rPr>
                <w:rFonts w:cs="Arial"/>
                <w:color w:val="000000"/>
              </w:rPr>
            </w:pPr>
            <w:r w:rsidRPr="00CA78BC">
              <w:rPr>
                <w:rFonts w:cs="Arial"/>
                <w:color w:val="000000"/>
              </w:rPr>
              <w:t>ab 1.1.17</w:t>
            </w:r>
          </w:p>
        </w:tc>
      </w:tr>
      <w:tr w:rsidR="00CA78BC" w:rsidRPr="00CA78BC" w:rsidTr="00AD451F">
        <w:trPr>
          <w:trHeight w:val="20"/>
        </w:trPr>
        <w:tc>
          <w:tcPr>
            <w:tcW w:w="3681" w:type="dxa"/>
            <w:vMerge w:val="restart"/>
            <w:shd w:val="clear" w:color="auto" w:fill="auto"/>
            <w:vAlign w:val="center"/>
          </w:tcPr>
          <w:p w:rsidR="00CA78BC" w:rsidRPr="00CA78BC" w:rsidRDefault="00CA78BC" w:rsidP="00CA78BC">
            <w:pPr>
              <w:rPr>
                <w:rFonts w:cs="Arial"/>
                <w:color w:val="000000"/>
              </w:rPr>
            </w:pPr>
            <w:r w:rsidRPr="00CA78BC">
              <w:rPr>
                <w:rFonts w:cs="Arial"/>
                <w:color w:val="000000"/>
              </w:rPr>
              <w:t>Zuschlag Mehrpersonal (abhängig von Öffnungstagen und vereinbarter Auslastung siehe Pflegesatzvereinbarung)</w:t>
            </w:r>
          </w:p>
        </w:tc>
        <w:tc>
          <w:tcPr>
            <w:tcW w:w="2126" w:type="dxa"/>
            <w:shd w:val="clear" w:color="auto" w:fill="auto"/>
            <w:vAlign w:val="center"/>
          </w:tcPr>
          <w:p w:rsidR="00CA78BC" w:rsidRPr="00CA78BC" w:rsidRDefault="00CA78BC" w:rsidP="00CA78BC">
            <w:pPr>
              <w:rPr>
                <w:rFonts w:cs="Arial"/>
                <w:color w:val="000000"/>
              </w:rPr>
            </w:pPr>
            <w:r w:rsidRPr="00CA78BC">
              <w:rPr>
                <w:rFonts w:cs="Arial"/>
                <w:color w:val="000000"/>
              </w:rPr>
              <w:t>bei 365 Öffnungstagen und 96 % Auslastung</w:t>
            </w:r>
          </w:p>
        </w:tc>
        <w:tc>
          <w:tcPr>
            <w:tcW w:w="1418" w:type="dxa"/>
            <w:shd w:val="clear" w:color="auto" w:fill="auto"/>
            <w:vAlign w:val="center"/>
          </w:tcPr>
          <w:p w:rsidR="00CA78BC" w:rsidRPr="00CA78BC" w:rsidRDefault="00CA78BC" w:rsidP="00CA78BC">
            <w:pPr>
              <w:jc w:val="right"/>
              <w:rPr>
                <w:rFonts w:cs="Arial"/>
                <w:color w:val="000000"/>
              </w:rPr>
            </w:pPr>
            <w:r w:rsidRPr="00CA78BC">
              <w:rPr>
                <w:rFonts w:cs="Arial"/>
                <w:color w:val="000000"/>
              </w:rPr>
              <w:t xml:space="preserve">2,17 € </w:t>
            </w:r>
          </w:p>
          <w:p w:rsidR="00CA78BC" w:rsidRPr="00CA78BC" w:rsidRDefault="00CA78BC" w:rsidP="00CA78BC">
            <w:pPr>
              <w:jc w:val="right"/>
              <w:rPr>
                <w:rFonts w:cs="Arial"/>
                <w:color w:val="000000"/>
              </w:rPr>
            </w:pPr>
            <w:r w:rsidRPr="00CA78BC">
              <w:rPr>
                <w:rFonts w:cs="Arial"/>
                <w:color w:val="000000"/>
              </w:rPr>
              <w:t>pro Tag und Platz</w:t>
            </w:r>
          </w:p>
        </w:tc>
        <w:tc>
          <w:tcPr>
            <w:tcW w:w="1559" w:type="dxa"/>
            <w:shd w:val="clear" w:color="auto" w:fill="auto"/>
            <w:vAlign w:val="center"/>
          </w:tcPr>
          <w:p w:rsidR="00CA78BC" w:rsidRPr="00CA78BC" w:rsidRDefault="00CA78BC" w:rsidP="00CA78BC">
            <w:pPr>
              <w:rPr>
                <w:rFonts w:cs="Arial"/>
                <w:color w:val="000000"/>
              </w:rPr>
            </w:pPr>
            <w:r w:rsidRPr="00CA78BC">
              <w:rPr>
                <w:rFonts w:cs="Arial"/>
                <w:color w:val="000000"/>
              </w:rPr>
              <w:t>ab 1.1.17</w:t>
            </w:r>
          </w:p>
        </w:tc>
      </w:tr>
      <w:tr w:rsidR="00CA78BC" w:rsidRPr="00CA78BC" w:rsidTr="00AD451F">
        <w:trPr>
          <w:trHeight w:val="20"/>
        </w:trPr>
        <w:tc>
          <w:tcPr>
            <w:tcW w:w="3681" w:type="dxa"/>
            <w:vMerge/>
            <w:shd w:val="clear" w:color="auto" w:fill="auto"/>
            <w:vAlign w:val="center"/>
          </w:tcPr>
          <w:p w:rsidR="00CA78BC" w:rsidRPr="00CA78BC" w:rsidRDefault="00CA78BC" w:rsidP="00CA78BC">
            <w:pPr>
              <w:rPr>
                <w:rFonts w:cs="Arial"/>
                <w:color w:val="000000"/>
              </w:rPr>
            </w:pPr>
          </w:p>
        </w:tc>
        <w:tc>
          <w:tcPr>
            <w:tcW w:w="2126" w:type="dxa"/>
            <w:shd w:val="clear" w:color="auto" w:fill="auto"/>
            <w:vAlign w:val="center"/>
          </w:tcPr>
          <w:p w:rsidR="00CA78BC" w:rsidRPr="00CA78BC" w:rsidRDefault="00CA78BC" w:rsidP="00CA78BC">
            <w:pPr>
              <w:rPr>
                <w:rFonts w:cs="Arial"/>
                <w:color w:val="000000"/>
              </w:rPr>
            </w:pPr>
            <w:r w:rsidRPr="00CA78BC">
              <w:rPr>
                <w:rFonts w:cs="Arial"/>
                <w:color w:val="000000"/>
              </w:rPr>
              <w:t>bei 250 Öffnungstagen und 85 % Auslastung</w:t>
            </w:r>
          </w:p>
        </w:tc>
        <w:tc>
          <w:tcPr>
            <w:tcW w:w="1418" w:type="dxa"/>
            <w:shd w:val="clear" w:color="auto" w:fill="auto"/>
            <w:vAlign w:val="center"/>
          </w:tcPr>
          <w:p w:rsidR="00CA78BC" w:rsidRPr="00CA78BC" w:rsidRDefault="00CA78BC" w:rsidP="00CA78BC">
            <w:pPr>
              <w:jc w:val="right"/>
              <w:rPr>
                <w:rFonts w:cs="Arial"/>
                <w:color w:val="000000"/>
              </w:rPr>
            </w:pPr>
            <w:r w:rsidRPr="00CA78BC">
              <w:rPr>
                <w:rFonts w:cs="Arial"/>
                <w:color w:val="000000"/>
              </w:rPr>
              <w:t xml:space="preserve">3,58 € </w:t>
            </w:r>
          </w:p>
          <w:p w:rsidR="00CA78BC" w:rsidRPr="00CA78BC" w:rsidRDefault="00CA78BC" w:rsidP="00CA78BC">
            <w:pPr>
              <w:jc w:val="right"/>
              <w:rPr>
                <w:rFonts w:cs="Arial"/>
                <w:color w:val="000000"/>
              </w:rPr>
            </w:pPr>
            <w:r w:rsidRPr="00CA78BC">
              <w:rPr>
                <w:rFonts w:cs="Arial"/>
                <w:color w:val="000000"/>
              </w:rPr>
              <w:t xml:space="preserve">pro Tag und Platz </w:t>
            </w:r>
          </w:p>
        </w:tc>
        <w:tc>
          <w:tcPr>
            <w:tcW w:w="1559" w:type="dxa"/>
            <w:shd w:val="clear" w:color="auto" w:fill="auto"/>
            <w:vAlign w:val="center"/>
          </w:tcPr>
          <w:p w:rsidR="00CA78BC" w:rsidRPr="00CA78BC" w:rsidRDefault="00CA78BC" w:rsidP="00CA78BC">
            <w:pPr>
              <w:rPr>
                <w:rFonts w:cs="Arial"/>
                <w:color w:val="000000"/>
              </w:rPr>
            </w:pPr>
            <w:r w:rsidRPr="00CA78BC">
              <w:rPr>
                <w:rFonts w:cs="Arial"/>
                <w:color w:val="000000"/>
              </w:rPr>
              <w:t>ab 1.1.17</w:t>
            </w:r>
          </w:p>
        </w:tc>
      </w:tr>
    </w:tbl>
    <w:p w:rsidR="00CA78BC" w:rsidRPr="00CA78BC" w:rsidRDefault="00CA78BC" w:rsidP="00CA78BC">
      <w:pPr>
        <w:rPr>
          <w:rFonts w:eastAsiaTheme="minorHAnsi" w:cs="Arial"/>
          <w:lang w:eastAsia="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2126"/>
        <w:gridCol w:w="1418"/>
        <w:gridCol w:w="1559"/>
      </w:tblGrid>
      <w:tr w:rsidR="00CA78BC" w:rsidRPr="00CA78BC" w:rsidTr="00AD451F">
        <w:trPr>
          <w:trHeight w:val="20"/>
        </w:trPr>
        <w:tc>
          <w:tcPr>
            <w:tcW w:w="3681" w:type="dxa"/>
            <w:shd w:val="clear" w:color="auto" w:fill="auto"/>
            <w:vAlign w:val="bottom"/>
          </w:tcPr>
          <w:p w:rsidR="00CA78BC" w:rsidRPr="00CA78BC" w:rsidRDefault="00CA78BC" w:rsidP="00CA78BC">
            <w:pPr>
              <w:rPr>
                <w:rFonts w:cs="Arial"/>
                <w:b/>
              </w:rPr>
            </w:pPr>
            <w:r w:rsidRPr="00CA78BC">
              <w:rPr>
                <w:rFonts w:cs="Arial"/>
                <w:b/>
              </w:rPr>
              <w:t>Variante C</w:t>
            </w:r>
          </w:p>
        </w:tc>
        <w:tc>
          <w:tcPr>
            <w:tcW w:w="5103" w:type="dxa"/>
            <w:gridSpan w:val="3"/>
            <w:shd w:val="clear" w:color="auto" w:fill="auto"/>
            <w:vAlign w:val="bottom"/>
          </w:tcPr>
          <w:p w:rsidR="00CA78BC" w:rsidRPr="00CA78BC" w:rsidRDefault="00CA78BC" w:rsidP="00CA78BC">
            <w:pPr>
              <w:jc w:val="center"/>
              <w:rPr>
                <w:rFonts w:cs="Arial"/>
                <w:b/>
                <w:color w:val="000000"/>
              </w:rPr>
            </w:pPr>
            <w:r w:rsidRPr="00CA78BC">
              <w:rPr>
                <w:rFonts w:cs="Arial"/>
                <w:b/>
                <w:color w:val="000000"/>
              </w:rPr>
              <w:t>Beispiel 2</w:t>
            </w:r>
          </w:p>
        </w:tc>
      </w:tr>
      <w:tr w:rsidR="00CA78BC" w:rsidRPr="00CA78BC" w:rsidTr="00AD451F">
        <w:trPr>
          <w:trHeight w:val="20"/>
        </w:trPr>
        <w:tc>
          <w:tcPr>
            <w:tcW w:w="3681" w:type="dxa"/>
            <w:vMerge w:val="restart"/>
            <w:shd w:val="clear" w:color="auto" w:fill="auto"/>
            <w:vAlign w:val="center"/>
            <w:hideMark/>
          </w:tcPr>
          <w:p w:rsidR="00CA78BC" w:rsidRPr="00CA78BC" w:rsidRDefault="00CA78BC" w:rsidP="00CA78BC">
            <w:pPr>
              <w:rPr>
                <w:rFonts w:cs="Arial"/>
              </w:rPr>
            </w:pPr>
          </w:p>
        </w:tc>
        <w:tc>
          <w:tcPr>
            <w:tcW w:w="5103" w:type="dxa"/>
            <w:gridSpan w:val="3"/>
            <w:shd w:val="clear" w:color="auto" w:fill="auto"/>
            <w:vAlign w:val="center"/>
            <w:hideMark/>
          </w:tcPr>
          <w:p w:rsidR="00CA78BC" w:rsidRPr="00CA78BC" w:rsidRDefault="00CA78BC" w:rsidP="00CA78BC">
            <w:pPr>
              <w:rPr>
                <w:rFonts w:cs="Arial"/>
                <w:color w:val="000000"/>
              </w:rPr>
            </w:pPr>
            <w:r w:rsidRPr="00CA78BC">
              <w:rPr>
                <w:rFonts w:cs="Arial"/>
                <w:color w:val="000000"/>
              </w:rPr>
              <w:t xml:space="preserve">Laufzeitende </w:t>
            </w:r>
            <w:r w:rsidRPr="00CA78BC">
              <w:rPr>
                <w:rFonts w:cs="Arial"/>
                <w:color w:val="FF0000"/>
              </w:rPr>
              <w:t>31. Oktober 2016</w:t>
            </w:r>
          </w:p>
        </w:tc>
      </w:tr>
      <w:tr w:rsidR="00CA78BC" w:rsidRPr="00CA78BC" w:rsidTr="00AD451F">
        <w:trPr>
          <w:trHeight w:val="20"/>
        </w:trPr>
        <w:tc>
          <w:tcPr>
            <w:tcW w:w="3681" w:type="dxa"/>
            <w:vMerge/>
            <w:shd w:val="clear" w:color="auto" w:fill="auto"/>
            <w:vAlign w:val="center"/>
            <w:hideMark/>
          </w:tcPr>
          <w:p w:rsidR="00CA78BC" w:rsidRPr="00CA78BC" w:rsidRDefault="00CA78BC" w:rsidP="00CA78BC">
            <w:pPr>
              <w:rPr>
                <w:rFonts w:cs="Arial"/>
              </w:rPr>
            </w:pPr>
          </w:p>
        </w:tc>
        <w:tc>
          <w:tcPr>
            <w:tcW w:w="5103" w:type="dxa"/>
            <w:gridSpan w:val="3"/>
            <w:shd w:val="clear" w:color="auto" w:fill="auto"/>
            <w:vAlign w:val="center"/>
            <w:hideMark/>
          </w:tcPr>
          <w:p w:rsidR="00CA78BC" w:rsidRPr="00CA78BC" w:rsidRDefault="00CA78BC" w:rsidP="00CA78BC">
            <w:pPr>
              <w:rPr>
                <w:rFonts w:cs="Arial"/>
                <w:color w:val="000000"/>
              </w:rPr>
            </w:pPr>
            <w:r w:rsidRPr="00CA78BC">
              <w:rPr>
                <w:rFonts w:cs="Arial"/>
                <w:color w:val="000000"/>
              </w:rPr>
              <w:t>Aufforderung zum 1. November 2016 (spätestens am 19.8.16 zur Kasse senden)</w:t>
            </w:r>
          </w:p>
        </w:tc>
      </w:tr>
      <w:tr w:rsidR="00CA78BC" w:rsidRPr="00CA78BC" w:rsidTr="00AD451F">
        <w:trPr>
          <w:trHeight w:val="20"/>
        </w:trPr>
        <w:tc>
          <w:tcPr>
            <w:tcW w:w="3681" w:type="dxa"/>
            <w:vMerge/>
            <w:shd w:val="clear" w:color="auto" w:fill="auto"/>
            <w:vAlign w:val="center"/>
            <w:hideMark/>
          </w:tcPr>
          <w:p w:rsidR="00CA78BC" w:rsidRPr="00CA78BC" w:rsidRDefault="00CA78BC" w:rsidP="00CA78BC">
            <w:pPr>
              <w:rPr>
                <w:rFonts w:cs="Arial"/>
              </w:rPr>
            </w:pPr>
          </w:p>
        </w:tc>
        <w:tc>
          <w:tcPr>
            <w:tcW w:w="5103" w:type="dxa"/>
            <w:gridSpan w:val="3"/>
            <w:shd w:val="clear" w:color="auto" w:fill="auto"/>
            <w:vAlign w:val="center"/>
            <w:hideMark/>
          </w:tcPr>
          <w:p w:rsidR="00CA78BC" w:rsidRPr="00CA78BC" w:rsidRDefault="00CA78BC" w:rsidP="00CA78BC">
            <w:pPr>
              <w:rPr>
                <w:rFonts w:cs="Arial"/>
                <w:color w:val="000000"/>
              </w:rPr>
            </w:pPr>
            <w:r w:rsidRPr="00CA78BC">
              <w:rPr>
                <w:rFonts w:cs="Arial"/>
                <w:color w:val="000000"/>
              </w:rPr>
              <w:t>Laufzeit z.B. bis 30.10. 2018</w:t>
            </w:r>
          </w:p>
        </w:tc>
      </w:tr>
      <w:tr w:rsidR="00CA78BC" w:rsidRPr="00CA78BC" w:rsidTr="00AD451F">
        <w:trPr>
          <w:trHeight w:val="20"/>
        </w:trPr>
        <w:tc>
          <w:tcPr>
            <w:tcW w:w="3681" w:type="dxa"/>
            <w:vMerge/>
            <w:shd w:val="clear" w:color="auto" w:fill="auto"/>
            <w:vAlign w:val="center"/>
            <w:hideMark/>
          </w:tcPr>
          <w:p w:rsidR="00CA78BC" w:rsidRPr="00CA78BC" w:rsidRDefault="00CA78BC" w:rsidP="00CA78BC">
            <w:pPr>
              <w:rPr>
                <w:rFonts w:cs="Arial"/>
              </w:rPr>
            </w:pPr>
          </w:p>
        </w:tc>
        <w:tc>
          <w:tcPr>
            <w:tcW w:w="5103" w:type="dxa"/>
            <w:gridSpan w:val="3"/>
            <w:shd w:val="clear" w:color="auto" w:fill="auto"/>
            <w:vAlign w:val="center"/>
            <w:hideMark/>
          </w:tcPr>
          <w:p w:rsidR="00CA78BC" w:rsidRPr="00CA78BC" w:rsidRDefault="00CA78BC" w:rsidP="00CA78BC">
            <w:pPr>
              <w:rPr>
                <w:rFonts w:cs="Arial"/>
                <w:color w:val="000000"/>
              </w:rPr>
            </w:pPr>
            <w:r w:rsidRPr="00CA78BC">
              <w:rPr>
                <w:rFonts w:cs="Arial"/>
                <w:color w:val="000000"/>
              </w:rPr>
              <w:t xml:space="preserve">Gesamtdauer </w:t>
            </w:r>
            <w:r w:rsidRPr="00CA78BC">
              <w:rPr>
                <w:rFonts w:cs="Arial"/>
                <w:color w:val="000000"/>
              </w:rPr>
              <w:sym w:font="Wingdings" w:char="F0E0"/>
            </w:r>
            <w:r w:rsidRPr="00CA78BC">
              <w:rPr>
                <w:rFonts w:cs="Arial"/>
                <w:color w:val="000000"/>
              </w:rPr>
              <w:t xml:space="preserve"> 24 Monate</w:t>
            </w:r>
          </w:p>
        </w:tc>
      </w:tr>
      <w:tr w:rsidR="00CA78BC" w:rsidRPr="00CA78BC" w:rsidTr="00AD451F">
        <w:trPr>
          <w:trHeight w:val="20"/>
        </w:trPr>
        <w:tc>
          <w:tcPr>
            <w:tcW w:w="3681" w:type="dxa"/>
            <w:shd w:val="clear" w:color="auto" w:fill="auto"/>
            <w:vAlign w:val="center"/>
            <w:hideMark/>
          </w:tcPr>
          <w:p w:rsidR="00CA78BC" w:rsidRPr="00CA78BC" w:rsidRDefault="00CA78BC" w:rsidP="00CA78BC">
            <w:pPr>
              <w:rPr>
                <w:rFonts w:cs="Arial"/>
                <w:color w:val="000000"/>
              </w:rPr>
            </w:pPr>
            <w:r w:rsidRPr="00CA78BC">
              <w:rPr>
                <w:rFonts w:cs="Arial"/>
                <w:color w:val="000000"/>
              </w:rPr>
              <w:t>Sachkosten 3 % / Jahr</w:t>
            </w:r>
          </w:p>
        </w:tc>
        <w:tc>
          <w:tcPr>
            <w:tcW w:w="2126" w:type="dxa"/>
            <w:shd w:val="clear" w:color="auto" w:fill="auto"/>
            <w:vAlign w:val="center"/>
            <w:hideMark/>
          </w:tcPr>
          <w:p w:rsidR="00CA78BC" w:rsidRPr="00CA78BC" w:rsidRDefault="00CA78BC" w:rsidP="00CA78BC">
            <w:pPr>
              <w:rPr>
                <w:rFonts w:cs="Arial"/>
                <w:color w:val="000000"/>
              </w:rPr>
            </w:pPr>
            <w:r w:rsidRPr="00CA78BC">
              <w:rPr>
                <w:rFonts w:cs="Arial"/>
                <w:color w:val="000000"/>
              </w:rPr>
              <w:t xml:space="preserve">3/12*24 = 6 % </w:t>
            </w:r>
          </w:p>
        </w:tc>
        <w:tc>
          <w:tcPr>
            <w:tcW w:w="1418" w:type="dxa"/>
            <w:shd w:val="clear" w:color="auto" w:fill="auto"/>
            <w:vAlign w:val="center"/>
          </w:tcPr>
          <w:p w:rsidR="00CA78BC" w:rsidRPr="00CA78BC" w:rsidRDefault="00CA78BC" w:rsidP="00CA78BC">
            <w:pPr>
              <w:jc w:val="right"/>
              <w:rPr>
                <w:rFonts w:cs="Arial"/>
                <w:color w:val="000000"/>
              </w:rPr>
            </w:pPr>
            <w:r w:rsidRPr="00CA78BC">
              <w:rPr>
                <w:rFonts w:cs="Arial"/>
                <w:color w:val="000000"/>
              </w:rPr>
              <w:t>6 %</w:t>
            </w:r>
          </w:p>
        </w:tc>
        <w:tc>
          <w:tcPr>
            <w:tcW w:w="1559" w:type="dxa"/>
            <w:shd w:val="clear" w:color="auto" w:fill="auto"/>
            <w:vAlign w:val="center"/>
            <w:hideMark/>
          </w:tcPr>
          <w:p w:rsidR="00CA78BC" w:rsidRPr="00CA78BC" w:rsidRDefault="00CA78BC" w:rsidP="00CA78BC">
            <w:pPr>
              <w:rPr>
                <w:rFonts w:cs="Arial"/>
                <w:color w:val="000000"/>
              </w:rPr>
            </w:pPr>
            <w:r w:rsidRPr="00CA78BC">
              <w:rPr>
                <w:rFonts w:cs="Arial"/>
                <w:color w:val="000000"/>
              </w:rPr>
              <w:t>über alles ab 1.11.16</w:t>
            </w:r>
          </w:p>
        </w:tc>
      </w:tr>
      <w:tr w:rsidR="00CA78BC" w:rsidRPr="00CA78BC" w:rsidTr="00AD451F">
        <w:trPr>
          <w:trHeight w:val="20"/>
        </w:trPr>
        <w:tc>
          <w:tcPr>
            <w:tcW w:w="3681" w:type="dxa"/>
            <w:shd w:val="clear" w:color="auto" w:fill="auto"/>
            <w:vAlign w:val="center"/>
            <w:hideMark/>
          </w:tcPr>
          <w:p w:rsidR="00CA78BC" w:rsidRPr="00CA78BC" w:rsidRDefault="00CA78BC" w:rsidP="00CA78BC">
            <w:pPr>
              <w:rPr>
                <w:rFonts w:cs="Arial"/>
                <w:color w:val="000000"/>
              </w:rPr>
            </w:pPr>
            <w:r w:rsidRPr="00CA78BC">
              <w:rPr>
                <w:rFonts w:cs="Arial"/>
                <w:color w:val="000000"/>
              </w:rPr>
              <w:t>Risikozuschlag PSG II einmalig 4 %</w:t>
            </w:r>
          </w:p>
        </w:tc>
        <w:tc>
          <w:tcPr>
            <w:tcW w:w="2126" w:type="dxa"/>
            <w:shd w:val="clear" w:color="auto" w:fill="auto"/>
            <w:vAlign w:val="center"/>
            <w:hideMark/>
          </w:tcPr>
          <w:p w:rsidR="00CA78BC" w:rsidRPr="00CA78BC" w:rsidRDefault="00CA78BC" w:rsidP="00CA78BC">
            <w:pPr>
              <w:jc w:val="right"/>
              <w:rPr>
                <w:rFonts w:cs="Arial"/>
                <w:color w:val="000000"/>
              </w:rPr>
            </w:pPr>
          </w:p>
        </w:tc>
        <w:tc>
          <w:tcPr>
            <w:tcW w:w="1418" w:type="dxa"/>
            <w:shd w:val="clear" w:color="auto" w:fill="auto"/>
            <w:vAlign w:val="center"/>
          </w:tcPr>
          <w:p w:rsidR="00CA78BC" w:rsidRPr="00CA78BC" w:rsidRDefault="00CA78BC" w:rsidP="00CA78BC">
            <w:pPr>
              <w:jc w:val="right"/>
              <w:rPr>
                <w:rFonts w:cs="Arial"/>
                <w:color w:val="000000"/>
              </w:rPr>
            </w:pPr>
            <w:r w:rsidRPr="00CA78BC">
              <w:rPr>
                <w:rFonts w:cs="Arial"/>
                <w:color w:val="000000"/>
              </w:rPr>
              <w:t>4,0 %</w:t>
            </w:r>
          </w:p>
        </w:tc>
        <w:tc>
          <w:tcPr>
            <w:tcW w:w="1559" w:type="dxa"/>
            <w:shd w:val="clear" w:color="auto" w:fill="auto"/>
            <w:vAlign w:val="center"/>
            <w:hideMark/>
          </w:tcPr>
          <w:p w:rsidR="00CA78BC" w:rsidRPr="00CA78BC" w:rsidRDefault="00CA78BC" w:rsidP="00CA78BC">
            <w:pPr>
              <w:rPr>
                <w:rFonts w:cs="Arial"/>
                <w:color w:val="000000"/>
              </w:rPr>
            </w:pPr>
            <w:r w:rsidRPr="00CA78BC">
              <w:rPr>
                <w:rFonts w:cs="Arial"/>
                <w:color w:val="000000"/>
              </w:rPr>
              <w:t>über alles ab 1.1.17</w:t>
            </w:r>
          </w:p>
        </w:tc>
      </w:tr>
      <w:tr w:rsidR="00CA78BC" w:rsidRPr="00CA78BC" w:rsidTr="00AD451F">
        <w:trPr>
          <w:trHeight w:val="20"/>
        </w:trPr>
        <w:tc>
          <w:tcPr>
            <w:tcW w:w="3681" w:type="dxa"/>
            <w:shd w:val="clear" w:color="auto" w:fill="auto"/>
            <w:vAlign w:val="center"/>
          </w:tcPr>
          <w:p w:rsidR="00CA78BC" w:rsidRPr="00CA78BC" w:rsidRDefault="00CA78BC" w:rsidP="00CA78BC">
            <w:pPr>
              <w:rPr>
                <w:rFonts w:cs="Arial"/>
                <w:color w:val="000000"/>
              </w:rPr>
            </w:pPr>
            <w:r w:rsidRPr="00CA78BC">
              <w:rPr>
                <w:rFonts w:cs="Arial"/>
                <w:color w:val="000000"/>
              </w:rPr>
              <w:t>Aufstockung Personal Pflege</w:t>
            </w:r>
          </w:p>
        </w:tc>
        <w:tc>
          <w:tcPr>
            <w:tcW w:w="2126" w:type="dxa"/>
            <w:shd w:val="clear" w:color="auto" w:fill="auto"/>
            <w:vAlign w:val="center"/>
          </w:tcPr>
          <w:p w:rsidR="00CA78BC" w:rsidRPr="00CA78BC" w:rsidRDefault="00CA78BC" w:rsidP="00CA78BC">
            <w:pPr>
              <w:jc w:val="right"/>
              <w:rPr>
                <w:rFonts w:cs="Arial"/>
                <w:color w:val="000000"/>
              </w:rPr>
            </w:pPr>
            <w:r w:rsidRPr="00CA78BC">
              <w:rPr>
                <w:rFonts w:cs="Arial"/>
                <w:color w:val="000000"/>
              </w:rPr>
              <w:t>1 zu 50</w:t>
            </w:r>
          </w:p>
        </w:tc>
        <w:tc>
          <w:tcPr>
            <w:tcW w:w="1418" w:type="dxa"/>
            <w:shd w:val="clear" w:color="auto" w:fill="auto"/>
            <w:vAlign w:val="center"/>
          </w:tcPr>
          <w:p w:rsidR="00CA78BC" w:rsidRPr="00CA78BC" w:rsidRDefault="00CA78BC" w:rsidP="00CA78BC">
            <w:pPr>
              <w:jc w:val="right"/>
              <w:rPr>
                <w:rFonts w:cs="Arial"/>
                <w:color w:val="000000"/>
              </w:rPr>
            </w:pPr>
          </w:p>
        </w:tc>
        <w:tc>
          <w:tcPr>
            <w:tcW w:w="1559" w:type="dxa"/>
            <w:shd w:val="clear" w:color="auto" w:fill="auto"/>
            <w:vAlign w:val="center"/>
          </w:tcPr>
          <w:p w:rsidR="00CA78BC" w:rsidRPr="00CA78BC" w:rsidRDefault="00CA78BC" w:rsidP="00CA78BC">
            <w:pPr>
              <w:rPr>
                <w:rFonts w:cs="Arial"/>
                <w:color w:val="000000"/>
              </w:rPr>
            </w:pPr>
            <w:r w:rsidRPr="00CA78BC">
              <w:rPr>
                <w:rFonts w:cs="Arial"/>
                <w:color w:val="000000"/>
              </w:rPr>
              <w:t>ab 1.1.17</w:t>
            </w:r>
          </w:p>
        </w:tc>
      </w:tr>
      <w:tr w:rsidR="00CA78BC" w:rsidRPr="00CA78BC" w:rsidTr="00AD451F">
        <w:trPr>
          <w:trHeight w:val="20"/>
        </w:trPr>
        <w:tc>
          <w:tcPr>
            <w:tcW w:w="3681" w:type="dxa"/>
            <w:vMerge w:val="restart"/>
            <w:shd w:val="clear" w:color="auto" w:fill="auto"/>
            <w:vAlign w:val="center"/>
          </w:tcPr>
          <w:p w:rsidR="00CA78BC" w:rsidRPr="00CA78BC" w:rsidRDefault="00CA78BC" w:rsidP="00CA78BC">
            <w:pPr>
              <w:rPr>
                <w:rFonts w:cs="Arial"/>
                <w:color w:val="000000"/>
              </w:rPr>
            </w:pPr>
            <w:r w:rsidRPr="00CA78BC">
              <w:rPr>
                <w:rFonts w:cs="Arial"/>
                <w:color w:val="000000"/>
              </w:rPr>
              <w:t>Zuschlag Mehrpersonal (abhängig von Öffnungstagen und vereinbarter Auslastung siehe Pflegesatzvereinbarung)</w:t>
            </w:r>
          </w:p>
        </w:tc>
        <w:tc>
          <w:tcPr>
            <w:tcW w:w="2126" w:type="dxa"/>
            <w:shd w:val="clear" w:color="auto" w:fill="auto"/>
            <w:vAlign w:val="center"/>
          </w:tcPr>
          <w:p w:rsidR="00CA78BC" w:rsidRPr="00CA78BC" w:rsidRDefault="00CA78BC" w:rsidP="00CA78BC">
            <w:pPr>
              <w:rPr>
                <w:rFonts w:cs="Arial"/>
                <w:color w:val="000000"/>
              </w:rPr>
            </w:pPr>
            <w:r w:rsidRPr="00CA78BC">
              <w:rPr>
                <w:rFonts w:cs="Arial"/>
                <w:color w:val="000000"/>
              </w:rPr>
              <w:t>bei 365 Öffnungstagen und 96 % Auslastung</w:t>
            </w:r>
          </w:p>
        </w:tc>
        <w:tc>
          <w:tcPr>
            <w:tcW w:w="1418" w:type="dxa"/>
            <w:shd w:val="clear" w:color="auto" w:fill="auto"/>
            <w:vAlign w:val="center"/>
          </w:tcPr>
          <w:p w:rsidR="00CA78BC" w:rsidRPr="00CA78BC" w:rsidRDefault="00CA78BC" w:rsidP="00CA78BC">
            <w:pPr>
              <w:jc w:val="right"/>
              <w:rPr>
                <w:rFonts w:cs="Arial"/>
                <w:color w:val="000000"/>
              </w:rPr>
            </w:pPr>
            <w:r w:rsidRPr="00CA78BC">
              <w:rPr>
                <w:rFonts w:cs="Arial"/>
                <w:color w:val="000000"/>
              </w:rPr>
              <w:t xml:space="preserve">2,17 € </w:t>
            </w:r>
          </w:p>
          <w:p w:rsidR="00CA78BC" w:rsidRPr="00CA78BC" w:rsidRDefault="00CA78BC" w:rsidP="00CA78BC">
            <w:pPr>
              <w:jc w:val="right"/>
              <w:rPr>
                <w:rFonts w:cs="Arial"/>
                <w:color w:val="000000"/>
              </w:rPr>
            </w:pPr>
            <w:r w:rsidRPr="00CA78BC">
              <w:rPr>
                <w:rFonts w:cs="Arial"/>
                <w:color w:val="000000"/>
              </w:rPr>
              <w:t>pro Tag und Platz</w:t>
            </w:r>
          </w:p>
        </w:tc>
        <w:tc>
          <w:tcPr>
            <w:tcW w:w="1559" w:type="dxa"/>
            <w:shd w:val="clear" w:color="auto" w:fill="auto"/>
            <w:vAlign w:val="center"/>
          </w:tcPr>
          <w:p w:rsidR="00CA78BC" w:rsidRPr="00CA78BC" w:rsidRDefault="00CA78BC" w:rsidP="00CA78BC">
            <w:pPr>
              <w:rPr>
                <w:rFonts w:cs="Arial"/>
                <w:color w:val="000000"/>
              </w:rPr>
            </w:pPr>
            <w:r w:rsidRPr="00CA78BC">
              <w:rPr>
                <w:rFonts w:cs="Arial"/>
                <w:color w:val="000000"/>
              </w:rPr>
              <w:t>ab 1.1.17</w:t>
            </w:r>
          </w:p>
        </w:tc>
      </w:tr>
      <w:tr w:rsidR="00CA78BC" w:rsidRPr="00CA78BC" w:rsidTr="00AD451F">
        <w:trPr>
          <w:trHeight w:val="20"/>
        </w:trPr>
        <w:tc>
          <w:tcPr>
            <w:tcW w:w="3681" w:type="dxa"/>
            <w:vMerge/>
            <w:shd w:val="clear" w:color="auto" w:fill="auto"/>
            <w:vAlign w:val="center"/>
          </w:tcPr>
          <w:p w:rsidR="00CA78BC" w:rsidRPr="00CA78BC" w:rsidRDefault="00CA78BC" w:rsidP="00CA78BC">
            <w:pPr>
              <w:rPr>
                <w:rFonts w:cs="Arial"/>
                <w:color w:val="000000"/>
              </w:rPr>
            </w:pPr>
          </w:p>
        </w:tc>
        <w:tc>
          <w:tcPr>
            <w:tcW w:w="2126" w:type="dxa"/>
            <w:shd w:val="clear" w:color="auto" w:fill="auto"/>
            <w:vAlign w:val="center"/>
          </w:tcPr>
          <w:p w:rsidR="00CA78BC" w:rsidRPr="00CA78BC" w:rsidRDefault="00CA78BC" w:rsidP="00CA78BC">
            <w:pPr>
              <w:rPr>
                <w:rFonts w:cs="Arial"/>
                <w:color w:val="000000"/>
              </w:rPr>
            </w:pPr>
            <w:r w:rsidRPr="00CA78BC">
              <w:rPr>
                <w:rFonts w:cs="Arial"/>
                <w:color w:val="000000"/>
              </w:rPr>
              <w:t>bei 250 Öffnungstagen und 85 % Auslastung</w:t>
            </w:r>
          </w:p>
        </w:tc>
        <w:tc>
          <w:tcPr>
            <w:tcW w:w="1418" w:type="dxa"/>
            <w:shd w:val="clear" w:color="auto" w:fill="auto"/>
            <w:vAlign w:val="center"/>
          </w:tcPr>
          <w:p w:rsidR="00CA78BC" w:rsidRPr="00CA78BC" w:rsidRDefault="00CA78BC" w:rsidP="00CA78BC">
            <w:pPr>
              <w:jc w:val="right"/>
              <w:rPr>
                <w:rFonts w:cs="Arial"/>
                <w:color w:val="000000"/>
              </w:rPr>
            </w:pPr>
            <w:r w:rsidRPr="00CA78BC">
              <w:rPr>
                <w:rFonts w:cs="Arial"/>
                <w:color w:val="000000"/>
              </w:rPr>
              <w:t xml:space="preserve">3,58 € </w:t>
            </w:r>
          </w:p>
          <w:p w:rsidR="00CA78BC" w:rsidRPr="00CA78BC" w:rsidRDefault="00CA78BC" w:rsidP="00CA78BC">
            <w:pPr>
              <w:jc w:val="right"/>
              <w:rPr>
                <w:rFonts w:cs="Arial"/>
                <w:color w:val="000000"/>
              </w:rPr>
            </w:pPr>
            <w:r w:rsidRPr="00CA78BC">
              <w:rPr>
                <w:rFonts w:cs="Arial"/>
                <w:color w:val="000000"/>
              </w:rPr>
              <w:t xml:space="preserve">pro Tag und Platz </w:t>
            </w:r>
          </w:p>
        </w:tc>
        <w:tc>
          <w:tcPr>
            <w:tcW w:w="1559" w:type="dxa"/>
            <w:shd w:val="clear" w:color="auto" w:fill="auto"/>
            <w:vAlign w:val="center"/>
          </w:tcPr>
          <w:p w:rsidR="00CA78BC" w:rsidRPr="00CA78BC" w:rsidRDefault="00CA78BC" w:rsidP="00CA78BC">
            <w:pPr>
              <w:rPr>
                <w:rFonts w:cs="Arial"/>
                <w:color w:val="000000"/>
              </w:rPr>
            </w:pPr>
            <w:r w:rsidRPr="00CA78BC">
              <w:rPr>
                <w:rFonts w:cs="Arial"/>
                <w:color w:val="000000"/>
              </w:rPr>
              <w:t>ab 1.1.17</w:t>
            </w:r>
          </w:p>
        </w:tc>
      </w:tr>
    </w:tbl>
    <w:p w:rsidR="00CA78BC" w:rsidRPr="00CA78BC" w:rsidRDefault="00CA78BC" w:rsidP="00CA78BC">
      <w:pPr>
        <w:rPr>
          <w:rFonts w:eastAsiaTheme="minorHAnsi" w:cs="Arial"/>
          <w:lang w:eastAsia="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2126"/>
        <w:gridCol w:w="1418"/>
        <w:gridCol w:w="1559"/>
      </w:tblGrid>
      <w:tr w:rsidR="00CA78BC" w:rsidRPr="00CA78BC" w:rsidTr="00AD451F">
        <w:trPr>
          <w:trHeight w:val="20"/>
        </w:trPr>
        <w:tc>
          <w:tcPr>
            <w:tcW w:w="3681" w:type="dxa"/>
            <w:shd w:val="clear" w:color="auto" w:fill="auto"/>
            <w:vAlign w:val="bottom"/>
          </w:tcPr>
          <w:p w:rsidR="00CA78BC" w:rsidRPr="00CA78BC" w:rsidRDefault="00CA78BC" w:rsidP="00CA78BC">
            <w:pPr>
              <w:rPr>
                <w:rFonts w:cs="Arial"/>
                <w:b/>
              </w:rPr>
            </w:pPr>
            <w:r w:rsidRPr="00CA78BC">
              <w:rPr>
                <w:rFonts w:cs="Arial"/>
                <w:b/>
              </w:rPr>
              <w:t>Variante C</w:t>
            </w:r>
          </w:p>
        </w:tc>
        <w:tc>
          <w:tcPr>
            <w:tcW w:w="5103" w:type="dxa"/>
            <w:gridSpan w:val="3"/>
            <w:shd w:val="clear" w:color="auto" w:fill="auto"/>
            <w:vAlign w:val="bottom"/>
          </w:tcPr>
          <w:p w:rsidR="00CA78BC" w:rsidRPr="00CA78BC" w:rsidRDefault="00CA78BC" w:rsidP="00CA78BC">
            <w:pPr>
              <w:jc w:val="center"/>
              <w:rPr>
                <w:rFonts w:cs="Arial"/>
                <w:b/>
                <w:color w:val="000000"/>
              </w:rPr>
            </w:pPr>
            <w:r w:rsidRPr="00CA78BC">
              <w:rPr>
                <w:rFonts w:cs="Arial"/>
                <w:b/>
                <w:color w:val="000000"/>
              </w:rPr>
              <w:t>Beispiel 3</w:t>
            </w:r>
          </w:p>
        </w:tc>
      </w:tr>
      <w:tr w:rsidR="00CA78BC" w:rsidRPr="00CA78BC" w:rsidTr="00AD451F">
        <w:trPr>
          <w:trHeight w:val="20"/>
        </w:trPr>
        <w:tc>
          <w:tcPr>
            <w:tcW w:w="3681" w:type="dxa"/>
            <w:vMerge w:val="restart"/>
            <w:shd w:val="clear" w:color="auto" w:fill="auto"/>
            <w:vAlign w:val="center"/>
            <w:hideMark/>
          </w:tcPr>
          <w:p w:rsidR="00CA78BC" w:rsidRPr="00CA78BC" w:rsidRDefault="00CA78BC" w:rsidP="00CA78BC">
            <w:pPr>
              <w:rPr>
                <w:rFonts w:cs="Arial"/>
              </w:rPr>
            </w:pPr>
          </w:p>
        </w:tc>
        <w:tc>
          <w:tcPr>
            <w:tcW w:w="5103" w:type="dxa"/>
            <w:gridSpan w:val="3"/>
            <w:shd w:val="clear" w:color="auto" w:fill="auto"/>
            <w:vAlign w:val="center"/>
            <w:hideMark/>
          </w:tcPr>
          <w:p w:rsidR="00CA78BC" w:rsidRPr="00CA78BC" w:rsidRDefault="00CA78BC" w:rsidP="00CA78BC">
            <w:pPr>
              <w:rPr>
                <w:rFonts w:cs="Arial"/>
                <w:color w:val="000000"/>
              </w:rPr>
            </w:pPr>
            <w:r w:rsidRPr="00CA78BC">
              <w:rPr>
                <w:rFonts w:cs="Arial"/>
                <w:color w:val="000000"/>
              </w:rPr>
              <w:t xml:space="preserve">Laufzeitende </w:t>
            </w:r>
            <w:r w:rsidRPr="00CA78BC">
              <w:rPr>
                <w:rFonts w:cs="Arial"/>
                <w:color w:val="FF0000"/>
              </w:rPr>
              <w:t>28. Februar 2017</w:t>
            </w:r>
          </w:p>
        </w:tc>
      </w:tr>
      <w:tr w:rsidR="00CA78BC" w:rsidRPr="00CA78BC" w:rsidTr="00AD451F">
        <w:trPr>
          <w:trHeight w:val="20"/>
        </w:trPr>
        <w:tc>
          <w:tcPr>
            <w:tcW w:w="3681" w:type="dxa"/>
            <w:vMerge/>
            <w:shd w:val="clear" w:color="auto" w:fill="auto"/>
            <w:vAlign w:val="center"/>
            <w:hideMark/>
          </w:tcPr>
          <w:p w:rsidR="00CA78BC" w:rsidRPr="00CA78BC" w:rsidRDefault="00CA78BC" w:rsidP="00CA78BC">
            <w:pPr>
              <w:rPr>
                <w:rFonts w:cs="Arial"/>
              </w:rPr>
            </w:pPr>
          </w:p>
        </w:tc>
        <w:tc>
          <w:tcPr>
            <w:tcW w:w="5103" w:type="dxa"/>
            <w:gridSpan w:val="3"/>
            <w:shd w:val="clear" w:color="auto" w:fill="auto"/>
            <w:vAlign w:val="center"/>
            <w:hideMark/>
          </w:tcPr>
          <w:p w:rsidR="00CA78BC" w:rsidRPr="00CA78BC" w:rsidRDefault="00CA78BC" w:rsidP="00CA78BC">
            <w:pPr>
              <w:rPr>
                <w:rFonts w:cs="Arial"/>
                <w:color w:val="000000"/>
              </w:rPr>
            </w:pPr>
            <w:r w:rsidRPr="00CA78BC">
              <w:rPr>
                <w:rFonts w:cs="Arial"/>
                <w:color w:val="000000"/>
              </w:rPr>
              <w:t>Aufforderung zum 1. Januar 2017 (wegen PSG II möglich, spätestens am 19.8.16 zur Kasse senden)</w:t>
            </w:r>
          </w:p>
        </w:tc>
      </w:tr>
      <w:tr w:rsidR="00CA78BC" w:rsidRPr="00CA78BC" w:rsidTr="00AD451F">
        <w:trPr>
          <w:trHeight w:val="20"/>
        </w:trPr>
        <w:tc>
          <w:tcPr>
            <w:tcW w:w="3681" w:type="dxa"/>
            <w:vMerge/>
            <w:shd w:val="clear" w:color="auto" w:fill="auto"/>
            <w:vAlign w:val="center"/>
            <w:hideMark/>
          </w:tcPr>
          <w:p w:rsidR="00CA78BC" w:rsidRPr="00CA78BC" w:rsidRDefault="00CA78BC" w:rsidP="00CA78BC">
            <w:pPr>
              <w:rPr>
                <w:rFonts w:cs="Arial"/>
              </w:rPr>
            </w:pPr>
          </w:p>
        </w:tc>
        <w:tc>
          <w:tcPr>
            <w:tcW w:w="5103" w:type="dxa"/>
            <w:gridSpan w:val="3"/>
            <w:shd w:val="clear" w:color="auto" w:fill="auto"/>
            <w:vAlign w:val="center"/>
            <w:hideMark/>
          </w:tcPr>
          <w:p w:rsidR="00CA78BC" w:rsidRPr="00CA78BC" w:rsidRDefault="00CA78BC" w:rsidP="00CA78BC">
            <w:pPr>
              <w:rPr>
                <w:rFonts w:cs="Arial"/>
                <w:color w:val="000000"/>
              </w:rPr>
            </w:pPr>
            <w:r w:rsidRPr="00CA78BC">
              <w:rPr>
                <w:rFonts w:cs="Arial"/>
                <w:color w:val="000000"/>
              </w:rPr>
              <w:t>Laufzeit mindestens bis 31. Dezember 2017</w:t>
            </w:r>
          </w:p>
        </w:tc>
      </w:tr>
      <w:tr w:rsidR="00CA78BC" w:rsidRPr="00CA78BC" w:rsidTr="00AD451F">
        <w:trPr>
          <w:trHeight w:val="20"/>
        </w:trPr>
        <w:tc>
          <w:tcPr>
            <w:tcW w:w="3681" w:type="dxa"/>
            <w:vMerge/>
            <w:shd w:val="clear" w:color="auto" w:fill="auto"/>
            <w:vAlign w:val="center"/>
            <w:hideMark/>
          </w:tcPr>
          <w:p w:rsidR="00CA78BC" w:rsidRPr="00CA78BC" w:rsidRDefault="00CA78BC" w:rsidP="00CA78BC">
            <w:pPr>
              <w:rPr>
                <w:rFonts w:cs="Arial"/>
              </w:rPr>
            </w:pPr>
          </w:p>
        </w:tc>
        <w:tc>
          <w:tcPr>
            <w:tcW w:w="5103" w:type="dxa"/>
            <w:gridSpan w:val="3"/>
            <w:shd w:val="clear" w:color="auto" w:fill="auto"/>
            <w:vAlign w:val="center"/>
            <w:hideMark/>
          </w:tcPr>
          <w:p w:rsidR="00CA78BC" w:rsidRPr="00CA78BC" w:rsidRDefault="00CA78BC" w:rsidP="00CA78BC">
            <w:pPr>
              <w:rPr>
                <w:rFonts w:cs="Arial"/>
                <w:color w:val="000000"/>
              </w:rPr>
            </w:pPr>
            <w:r w:rsidRPr="00CA78BC">
              <w:rPr>
                <w:rFonts w:cs="Arial"/>
                <w:color w:val="000000"/>
              </w:rPr>
              <w:t xml:space="preserve">Gesamtdauer </w:t>
            </w:r>
            <w:r w:rsidRPr="00CA78BC">
              <w:rPr>
                <w:rFonts w:cs="Arial"/>
                <w:color w:val="000000"/>
              </w:rPr>
              <w:sym w:font="Wingdings" w:char="F0E0"/>
            </w:r>
            <w:r w:rsidRPr="00CA78BC">
              <w:rPr>
                <w:rFonts w:cs="Arial"/>
                <w:color w:val="000000"/>
              </w:rPr>
              <w:t xml:space="preserve"> 12 Monate</w:t>
            </w:r>
          </w:p>
        </w:tc>
      </w:tr>
      <w:tr w:rsidR="00CA78BC" w:rsidRPr="00CA78BC" w:rsidTr="00AD451F">
        <w:trPr>
          <w:trHeight w:val="20"/>
        </w:trPr>
        <w:tc>
          <w:tcPr>
            <w:tcW w:w="3681" w:type="dxa"/>
            <w:shd w:val="clear" w:color="auto" w:fill="auto"/>
            <w:vAlign w:val="center"/>
            <w:hideMark/>
          </w:tcPr>
          <w:p w:rsidR="00CA78BC" w:rsidRPr="00CA78BC" w:rsidRDefault="00CA78BC" w:rsidP="00CA78BC">
            <w:pPr>
              <w:rPr>
                <w:rFonts w:cs="Arial"/>
                <w:color w:val="000000"/>
              </w:rPr>
            </w:pPr>
            <w:r w:rsidRPr="00CA78BC">
              <w:rPr>
                <w:rFonts w:cs="Arial"/>
                <w:color w:val="000000"/>
              </w:rPr>
              <w:t>Sachkosten 3 % / Jahr</w:t>
            </w:r>
          </w:p>
        </w:tc>
        <w:tc>
          <w:tcPr>
            <w:tcW w:w="2126" w:type="dxa"/>
            <w:shd w:val="clear" w:color="auto" w:fill="auto"/>
            <w:vAlign w:val="center"/>
            <w:hideMark/>
          </w:tcPr>
          <w:p w:rsidR="00CA78BC" w:rsidRPr="00CA78BC" w:rsidRDefault="00CA78BC" w:rsidP="00CA78BC">
            <w:pPr>
              <w:rPr>
                <w:rFonts w:cs="Arial"/>
                <w:color w:val="000000"/>
              </w:rPr>
            </w:pPr>
            <w:r w:rsidRPr="00CA78BC">
              <w:rPr>
                <w:rFonts w:cs="Arial"/>
                <w:color w:val="000000"/>
              </w:rPr>
              <w:t xml:space="preserve">3/12*10 = 2,5 % </w:t>
            </w:r>
          </w:p>
        </w:tc>
        <w:tc>
          <w:tcPr>
            <w:tcW w:w="1418" w:type="dxa"/>
            <w:shd w:val="clear" w:color="auto" w:fill="auto"/>
            <w:vAlign w:val="center"/>
          </w:tcPr>
          <w:p w:rsidR="00CA78BC" w:rsidRPr="00CA78BC" w:rsidRDefault="00CA78BC" w:rsidP="00CA78BC">
            <w:pPr>
              <w:jc w:val="right"/>
              <w:rPr>
                <w:rFonts w:cs="Arial"/>
                <w:color w:val="000000"/>
              </w:rPr>
            </w:pPr>
            <w:r w:rsidRPr="00CA78BC">
              <w:rPr>
                <w:rFonts w:cs="Arial"/>
                <w:color w:val="000000"/>
              </w:rPr>
              <w:t>2,5 %</w:t>
            </w:r>
          </w:p>
        </w:tc>
        <w:tc>
          <w:tcPr>
            <w:tcW w:w="1559" w:type="dxa"/>
            <w:shd w:val="clear" w:color="auto" w:fill="auto"/>
            <w:vAlign w:val="center"/>
            <w:hideMark/>
          </w:tcPr>
          <w:p w:rsidR="00CA78BC" w:rsidRPr="00CA78BC" w:rsidRDefault="00CA78BC" w:rsidP="00CA78BC">
            <w:pPr>
              <w:rPr>
                <w:rFonts w:cs="Arial"/>
                <w:color w:val="000000"/>
              </w:rPr>
            </w:pPr>
            <w:r w:rsidRPr="00CA78BC">
              <w:rPr>
                <w:rFonts w:cs="Arial"/>
                <w:color w:val="000000"/>
              </w:rPr>
              <w:t>über alles ab 1.1.17</w:t>
            </w:r>
          </w:p>
        </w:tc>
      </w:tr>
      <w:tr w:rsidR="00CA78BC" w:rsidRPr="00CA78BC" w:rsidTr="00AD451F">
        <w:trPr>
          <w:trHeight w:val="20"/>
        </w:trPr>
        <w:tc>
          <w:tcPr>
            <w:tcW w:w="3681" w:type="dxa"/>
            <w:shd w:val="clear" w:color="auto" w:fill="auto"/>
            <w:vAlign w:val="center"/>
            <w:hideMark/>
          </w:tcPr>
          <w:p w:rsidR="00CA78BC" w:rsidRPr="00CA78BC" w:rsidRDefault="00CA78BC" w:rsidP="00CA78BC">
            <w:pPr>
              <w:rPr>
                <w:rFonts w:cs="Arial"/>
                <w:color w:val="000000"/>
              </w:rPr>
            </w:pPr>
            <w:r w:rsidRPr="00CA78BC">
              <w:rPr>
                <w:rFonts w:cs="Arial"/>
                <w:color w:val="000000"/>
              </w:rPr>
              <w:t>Risikozuschlag PSG II einmalig 4 %</w:t>
            </w:r>
          </w:p>
        </w:tc>
        <w:tc>
          <w:tcPr>
            <w:tcW w:w="2126" w:type="dxa"/>
            <w:shd w:val="clear" w:color="auto" w:fill="auto"/>
            <w:vAlign w:val="center"/>
            <w:hideMark/>
          </w:tcPr>
          <w:p w:rsidR="00CA78BC" w:rsidRPr="00CA78BC" w:rsidRDefault="00CA78BC" w:rsidP="00CA78BC">
            <w:pPr>
              <w:jc w:val="right"/>
              <w:rPr>
                <w:rFonts w:cs="Arial"/>
                <w:color w:val="000000"/>
              </w:rPr>
            </w:pPr>
          </w:p>
        </w:tc>
        <w:tc>
          <w:tcPr>
            <w:tcW w:w="1418" w:type="dxa"/>
            <w:shd w:val="clear" w:color="auto" w:fill="auto"/>
            <w:vAlign w:val="center"/>
          </w:tcPr>
          <w:p w:rsidR="00CA78BC" w:rsidRPr="00CA78BC" w:rsidRDefault="00CA78BC" w:rsidP="00CA78BC">
            <w:pPr>
              <w:jc w:val="right"/>
              <w:rPr>
                <w:rFonts w:cs="Arial"/>
                <w:color w:val="000000"/>
              </w:rPr>
            </w:pPr>
            <w:r w:rsidRPr="00CA78BC">
              <w:rPr>
                <w:rFonts w:cs="Arial"/>
                <w:color w:val="000000"/>
              </w:rPr>
              <w:t>4,0 %</w:t>
            </w:r>
          </w:p>
        </w:tc>
        <w:tc>
          <w:tcPr>
            <w:tcW w:w="1559" w:type="dxa"/>
            <w:shd w:val="clear" w:color="auto" w:fill="auto"/>
            <w:vAlign w:val="center"/>
            <w:hideMark/>
          </w:tcPr>
          <w:p w:rsidR="00CA78BC" w:rsidRPr="00CA78BC" w:rsidRDefault="00CA78BC" w:rsidP="00CA78BC">
            <w:pPr>
              <w:rPr>
                <w:rFonts w:cs="Arial"/>
                <w:color w:val="000000"/>
              </w:rPr>
            </w:pPr>
            <w:r w:rsidRPr="00CA78BC">
              <w:rPr>
                <w:rFonts w:cs="Arial"/>
                <w:color w:val="000000"/>
              </w:rPr>
              <w:t>über alles ab 1.1.17</w:t>
            </w:r>
          </w:p>
        </w:tc>
      </w:tr>
      <w:tr w:rsidR="00CA78BC" w:rsidRPr="00CA78BC" w:rsidTr="00AD451F">
        <w:trPr>
          <w:trHeight w:val="20"/>
        </w:trPr>
        <w:tc>
          <w:tcPr>
            <w:tcW w:w="3681" w:type="dxa"/>
            <w:shd w:val="clear" w:color="auto" w:fill="auto"/>
            <w:vAlign w:val="center"/>
          </w:tcPr>
          <w:p w:rsidR="00CA78BC" w:rsidRPr="00CA78BC" w:rsidRDefault="00CA78BC" w:rsidP="00CA78BC">
            <w:pPr>
              <w:rPr>
                <w:rFonts w:cs="Arial"/>
                <w:color w:val="000000"/>
              </w:rPr>
            </w:pPr>
            <w:r w:rsidRPr="00CA78BC">
              <w:rPr>
                <w:rFonts w:cs="Arial"/>
                <w:color w:val="000000"/>
              </w:rPr>
              <w:t>Aufstockung Personal Pflege</w:t>
            </w:r>
          </w:p>
        </w:tc>
        <w:tc>
          <w:tcPr>
            <w:tcW w:w="2126" w:type="dxa"/>
            <w:shd w:val="clear" w:color="auto" w:fill="auto"/>
            <w:vAlign w:val="center"/>
          </w:tcPr>
          <w:p w:rsidR="00CA78BC" w:rsidRPr="00CA78BC" w:rsidRDefault="00CA78BC" w:rsidP="00CA78BC">
            <w:pPr>
              <w:jc w:val="right"/>
              <w:rPr>
                <w:rFonts w:cs="Arial"/>
                <w:color w:val="000000"/>
              </w:rPr>
            </w:pPr>
            <w:r w:rsidRPr="00CA78BC">
              <w:rPr>
                <w:rFonts w:cs="Arial"/>
                <w:color w:val="000000"/>
              </w:rPr>
              <w:t>1 zu 50</w:t>
            </w:r>
          </w:p>
        </w:tc>
        <w:tc>
          <w:tcPr>
            <w:tcW w:w="1418" w:type="dxa"/>
            <w:shd w:val="clear" w:color="auto" w:fill="auto"/>
            <w:vAlign w:val="center"/>
          </w:tcPr>
          <w:p w:rsidR="00CA78BC" w:rsidRPr="00CA78BC" w:rsidRDefault="00CA78BC" w:rsidP="00CA78BC">
            <w:pPr>
              <w:jc w:val="right"/>
              <w:rPr>
                <w:rFonts w:cs="Arial"/>
                <w:color w:val="000000"/>
              </w:rPr>
            </w:pPr>
          </w:p>
        </w:tc>
        <w:tc>
          <w:tcPr>
            <w:tcW w:w="1559" w:type="dxa"/>
            <w:shd w:val="clear" w:color="auto" w:fill="auto"/>
            <w:vAlign w:val="center"/>
          </w:tcPr>
          <w:p w:rsidR="00CA78BC" w:rsidRPr="00CA78BC" w:rsidRDefault="00CA78BC" w:rsidP="00CA78BC">
            <w:pPr>
              <w:rPr>
                <w:rFonts w:cs="Arial"/>
                <w:color w:val="000000"/>
              </w:rPr>
            </w:pPr>
            <w:r w:rsidRPr="00CA78BC">
              <w:rPr>
                <w:rFonts w:cs="Arial"/>
                <w:color w:val="000000"/>
              </w:rPr>
              <w:t>ab 1.1.17</w:t>
            </w:r>
          </w:p>
        </w:tc>
      </w:tr>
      <w:tr w:rsidR="00CA78BC" w:rsidRPr="00CA78BC" w:rsidTr="00AD451F">
        <w:trPr>
          <w:trHeight w:val="20"/>
        </w:trPr>
        <w:tc>
          <w:tcPr>
            <w:tcW w:w="3681" w:type="dxa"/>
            <w:vMerge w:val="restart"/>
            <w:shd w:val="clear" w:color="auto" w:fill="auto"/>
            <w:vAlign w:val="center"/>
          </w:tcPr>
          <w:p w:rsidR="00CA78BC" w:rsidRPr="00CA78BC" w:rsidRDefault="00CA78BC" w:rsidP="00CA78BC">
            <w:pPr>
              <w:rPr>
                <w:rFonts w:cs="Arial"/>
                <w:color w:val="000000"/>
              </w:rPr>
            </w:pPr>
            <w:r w:rsidRPr="00CA78BC">
              <w:rPr>
                <w:rFonts w:cs="Arial"/>
                <w:color w:val="000000"/>
              </w:rPr>
              <w:t>Zuschlag Mehrpersonal (abhängig von Öffnungstagen und vereinbarter Auslastung siehe Pflegesatzvereinbarung)</w:t>
            </w:r>
          </w:p>
        </w:tc>
        <w:tc>
          <w:tcPr>
            <w:tcW w:w="2126" w:type="dxa"/>
            <w:shd w:val="clear" w:color="auto" w:fill="auto"/>
            <w:vAlign w:val="center"/>
          </w:tcPr>
          <w:p w:rsidR="00CA78BC" w:rsidRPr="00CA78BC" w:rsidRDefault="00CA78BC" w:rsidP="00CA78BC">
            <w:pPr>
              <w:rPr>
                <w:rFonts w:cs="Arial"/>
                <w:color w:val="000000"/>
              </w:rPr>
            </w:pPr>
            <w:r w:rsidRPr="00CA78BC">
              <w:rPr>
                <w:rFonts w:cs="Arial"/>
                <w:color w:val="000000"/>
              </w:rPr>
              <w:t>bei 365 Öffnungstagen und 96 % Auslastung</w:t>
            </w:r>
          </w:p>
        </w:tc>
        <w:tc>
          <w:tcPr>
            <w:tcW w:w="1418" w:type="dxa"/>
            <w:shd w:val="clear" w:color="auto" w:fill="auto"/>
            <w:vAlign w:val="center"/>
          </w:tcPr>
          <w:p w:rsidR="00CA78BC" w:rsidRPr="00CA78BC" w:rsidRDefault="00CA78BC" w:rsidP="00CA78BC">
            <w:pPr>
              <w:jc w:val="right"/>
              <w:rPr>
                <w:rFonts w:cs="Arial"/>
                <w:color w:val="000000"/>
              </w:rPr>
            </w:pPr>
            <w:r w:rsidRPr="00CA78BC">
              <w:rPr>
                <w:rFonts w:cs="Arial"/>
                <w:color w:val="000000"/>
              </w:rPr>
              <w:t xml:space="preserve">2,17 € </w:t>
            </w:r>
          </w:p>
          <w:p w:rsidR="00CA78BC" w:rsidRPr="00CA78BC" w:rsidRDefault="00CA78BC" w:rsidP="00CA78BC">
            <w:pPr>
              <w:jc w:val="right"/>
              <w:rPr>
                <w:rFonts w:cs="Arial"/>
                <w:color w:val="000000"/>
              </w:rPr>
            </w:pPr>
            <w:r w:rsidRPr="00CA78BC">
              <w:rPr>
                <w:rFonts w:cs="Arial"/>
                <w:color w:val="000000"/>
              </w:rPr>
              <w:t>pro Tag und Platz</w:t>
            </w:r>
          </w:p>
        </w:tc>
        <w:tc>
          <w:tcPr>
            <w:tcW w:w="1559" w:type="dxa"/>
            <w:shd w:val="clear" w:color="auto" w:fill="auto"/>
            <w:vAlign w:val="center"/>
          </w:tcPr>
          <w:p w:rsidR="00CA78BC" w:rsidRPr="00CA78BC" w:rsidRDefault="00CA78BC" w:rsidP="00CA78BC">
            <w:pPr>
              <w:rPr>
                <w:rFonts w:cs="Arial"/>
                <w:color w:val="000000"/>
              </w:rPr>
            </w:pPr>
            <w:r w:rsidRPr="00CA78BC">
              <w:rPr>
                <w:rFonts w:cs="Arial"/>
                <w:color w:val="000000"/>
              </w:rPr>
              <w:t>ab 1.1.17</w:t>
            </w:r>
          </w:p>
        </w:tc>
      </w:tr>
      <w:tr w:rsidR="00CA78BC" w:rsidRPr="00CA78BC" w:rsidTr="00AD451F">
        <w:trPr>
          <w:trHeight w:val="20"/>
        </w:trPr>
        <w:tc>
          <w:tcPr>
            <w:tcW w:w="3681" w:type="dxa"/>
            <w:vMerge/>
            <w:shd w:val="clear" w:color="auto" w:fill="auto"/>
            <w:vAlign w:val="center"/>
          </w:tcPr>
          <w:p w:rsidR="00CA78BC" w:rsidRPr="00CA78BC" w:rsidRDefault="00CA78BC" w:rsidP="00CA78BC">
            <w:pPr>
              <w:rPr>
                <w:rFonts w:cs="Arial"/>
                <w:color w:val="000000"/>
              </w:rPr>
            </w:pPr>
          </w:p>
        </w:tc>
        <w:tc>
          <w:tcPr>
            <w:tcW w:w="2126" w:type="dxa"/>
            <w:shd w:val="clear" w:color="auto" w:fill="auto"/>
            <w:vAlign w:val="center"/>
          </w:tcPr>
          <w:p w:rsidR="00CA78BC" w:rsidRPr="00CA78BC" w:rsidRDefault="00CA78BC" w:rsidP="00CA78BC">
            <w:pPr>
              <w:rPr>
                <w:rFonts w:cs="Arial"/>
                <w:color w:val="000000"/>
              </w:rPr>
            </w:pPr>
            <w:r w:rsidRPr="00CA78BC">
              <w:rPr>
                <w:rFonts w:cs="Arial"/>
                <w:color w:val="000000"/>
              </w:rPr>
              <w:t>bei 250 Öffnungstagen und 85 % Auslastung</w:t>
            </w:r>
          </w:p>
        </w:tc>
        <w:tc>
          <w:tcPr>
            <w:tcW w:w="1418" w:type="dxa"/>
            <w:shd w:val="clear" w:color="auto" w:fill="auto"/>
            <w:vAlign w:val="center"/>
          </w:tcPr>
          <w:p w:rsidR="00CA78BC" w:rsidRPr="00CA78BC" w:rsidRDefault="00CA78BC" w:rsidP="00CA78BC">
            <w:pPr>
              <w:jc w:val="right"/>
              <w:rPr>
                <w:rFonts w:cs="Arial"/>
                <w:color w:val="000000"/>
              </w:rPr>
            </w:pPr>
            <w:r w:rsidRPr="00CA78BC">
              <w:rPr>
                <w:rFonts w:cs="Arial"/>
                <w:color w:val="000000"/>
              </w:rPr>
              <w:t xml:space="preserve">3,58 € </w:t>
            </w:r>
          </w:p>
          <w:p w:rsidR="00CA78BC" w:rsidRPr="00CA78BC" w:rsidRDefault="00CA78BC" w:rsidP="00CA78BC">
            <w:pPr>
              <w:jc w:val="right"/>
              <w:rPr>
                <w:rFonts w:cs="Arial"/>
                <w:color w:val="000000"/>
              </w:rPr>
            </w:pPr>
            <w:r w:rsidRPr="00CA78BC">
              <w:rPr>
                <w:rFonts w:cs="Arial"/>
                <w:color w:val="000000"/>
              </w:rPr>
              <w:t xml:space="preserve">pro Tag und Platz </w:t>
            </w:r>
          </w:p>
        </w:tc>
        <w:tc>
          <w:tcPr>
            <w:tcW w:w="1559" w:type="dxa"/>
            <w:shd w:val="clear" w:color="auto" w:fill="auto"/>
            <w:vAlign w:val="center"/>
          </w:tcPr>
          <w:p w:rsidR="00CA78BC" w:rsidRPr="00CA78BC" w:rsidRDefault="00CA78BC" w:rsidP="00CA78BC">
            <w:pPr>
              <w:rPr>
                <w:rFonts w:cs="Arial"/>
                <w:color w:val="000000"/>
              </w:rPr>
            </w:pPr>
            <w:r w:rsidRPr="00CA78BC">
              <w:rPr>
                <w:rFonts w:cs="Arial"/>
                <w:color w:val="000000"/>
              </w:rPr>
              <w:t>ab 1.1.17</w:t>
            </w:r>
          </w:p>
        </w:tc>
      </w:tr>
    </w:tbl>
    <w:p w:rsidR="00CA78BC" w:rsidRDefault="00CA78BC" w:rsidP="002E2006">
      <w:pPr>
        <w:rPr>
          <w:rFonts w:eastAsiaTheme="minorHAnsi" w:cstheme="minorBidi"/>
          <w:lang w:eastAsia="en-US"/>
        </w:rPr>
      </w:pPr>
    </w:p>
    <w:p w:rsidR="00CA78BC" w:rsidRPr="002E2006" w:rsidRDefault="00CA78BC" w:rsidP="002E2006">
      <w:pPr>
        <w:rPr>
          <w:rFonts w:eastAsiaTheme="minorHAnsi" w:cstheme="minorBidi"/>
          <w:lang w:eastAsia="en-US"/>
        </w:rPr>
      </w:pPr>
    </w:p>
    <w:p w:rsidR="002E2006" w:rsidRPr="002E2006" w:rsidRDefault="002E2006" w:rsidP="002E2006">
      <w:pPr>
        <w:rPr>
          <w:rFonts w:eastAsiaTheme="minorHAnsi" w:cstheme="minorBidi"/>
          <w:b/>
          <w:lang w:eastAsia="en-US"/>
        </w:rPr>
      </w:pPr>
      <w:r w:rsidRPr="002E2006">
        <w:rPr>
          <w:rFonts w:eastAsiaTheme="minorHAnsi" w:cstheme="minorBidi"/>
          <w:b/>
          <w:lang w:eastAsia="en-US"/>
        </w:rPr>
        <w:t xml:space="preserve">Unabhängig von Ihrer individuellen Entscheidung, bieten wir allen unseren Mitgliedern ausdrücklich unsere Unterstützung an. </w:t>
      </w:r>
    </w:p>
    <w:p w:rsidR="00AE5EAB" w:rsidRDefault="00AE5EAB" w:rsidP="002E2006">
      <w:pPr>
        <w:rPr>
          <w:rFonts w:eastAsiaTheme="minorHAnsi" w:cstheme="minorBidi"/>
          <w:b/>
          <w:lang w:eastAsia="en-US"/>
        </w:rPr>
      </w:pPr>
    </w:p>
    <w:p w:rsidR="002E2006" w:rsidRPr="002E2006" w:rsidRDefault="002E2006" w:rsidP="002E2006">
      <w:pPr>
        <w:rPr>
          <w:rFonts w:eastAsiaTheme="minorHAnsi" w:cstheme="minorBidi"/>
          <w:b/>
          <w:lang w:eastAsia="en-US"/>
        </w:rPr>
      </w:pPr>
      <w:r w:rsidRPr="002E2006">
        <w:rPr>
          <w:rFonts w:eastAsiaTheme="minorHAnsi" w:cstheme="minorBidi"/>
          <w:b/>
          <w:lang w:eastAsia="en-US"/>
        </w:rPr>
        <w:t xml:space="preserve">Bitte beachten Sie </w:t>
      </w:r>
      <w:r w:rsidR="00157816">
        <w:rPr>
          <w:rFonts w:eastAsiaTheme="minorHAnsi" w:cstheme="minorBidi"/>
          <w:b/>
          <w:lang w:eastAsia="en-US"/>
        </w:rPr>
        <w:t xml:space="preserve">weitere </w:t>
      </w:r>
      <w:r w:rsidRPr="002E2006">
        <w:rPr>
          <w:rFonts w:eastAsiaTheme="minorHAnsi" w:cstheme="minorBidi"/>
          <w:b/>
          <w:lang w:eastAsia="en-US"/>
        </w:rPr>
        <w:t>terminliche Vorgaben durch das Gesetz.</w:t>
      </w:r>
    </w:p>
    <w:p w:rsidR="002E2006" w:rsidRPr="002E2006" w:rsidRDefault="002E2006" w:rsidP="002E2006"/>
    <w:p w:rsidR="00816056" w:rsidRDefault="00816056" w:rsidP="00816056"/>
    <w:p w:rsidR="002F0521" w:rsidRDefault="002F0521" w:rsidP="00816056"/>
    <w:p w:rsidR="00675ACE" w:rsidRDefault="00157816" w:rsidP="00816056">
      <w:r w:rsidRPr="00157816">
        <w:rPr>
          <w:noProof/>
        </w:rPr>
        <w:drawing>
          <wp:inline distT="0" distB="0" distL="0" distR="0" wp14:anchorId="5209708B" wp14:editId="04C318E4">
            <wp:extent cx="5759450" cy="32391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3239135"/>
                    </a:xfrm>
                    <a:prstGeom prst="rect">
                      <a:avLst/>
                    </a:prstGeom>
                  </pic:spPr>
                </pic:pic>
              </a:graphicData>
            </a:graphic>
          </wp:inline>
        </w:drawing>
      </w:r>
    </w:p>
    <w:p w:rsidR="00675ACE" w:rsidRDefault="00675ACE" w:rsidP="00816056"/>
    <w:p w:rsidR="009C144A" w:rsidRDefault="009C144A" w:rsidP="001B6CB7"/>
    <w:p w:rsidR="00157816" w:rsidRDefault="00157816" w:rsidP="001B6CB7">
      <w:r>
        <w:t>Für die Ansprüche der Versicherten und die Überführung von Pflegestufen in Pflegegrade verweisen wir auf unsere Information vom Januar 2016.</w:t>
      </w:r>
    </w:p>
    <w:sectPr w:rsidR="00157816" w:rsidSect="00AE5EAB">
      <w:headerReference w:type="default" r:id="rId12"/>
      <w:footerReference w:type="default" r:id="rId13"/>
      <w:pgSz w:w="11906" w:h="16838" w:code="9"/>
      <w:pgMar w:top="1418" w:right="1418" w:bottom="1134" w:left="1418" w:header="357"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9EE" w:rsidRDefault="00CC69EE">
      <w:r>
        <w:separator/>
      </w:r>
    </w:p>
  </w:endnote>
  <w:endnote w:type="continuationSeparator" w:id="0">
    <w:p w:rsidR="00CC69EE" w:rsidRDefault="00C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7" w:type="dxa"/>
      <w:tblInd w:w="-640" w:type="dxa"/>
      <w:tblBorders>
        <w:top w:val="single" w:sz="18" w:space="0" w:color="339966"/>
      </w:tblBorders>
      <w:tblLook w:val="00A0" w:firstRow="1" w:lastRow="0" w:firstColumn="1" w:lastColumn="0" w:noHBand="0" w:noVBand="0"/>
    </w:tblPr>
    <w:tblGrid>
      <w:gridCol w:w="908"/>
      <w:gridCol w:w="2185"/>
      <w:gridCol w:w="890"/>
      <w:gridCol w:w="1443"/>
      <w:gridCol w:w="2770"/>
      <w:gridCol w:w="2191"/>
    </w:tblGrid>
    <w:tr w:rsidR="00EE589A">
      <w:trPr>
        <w:trHeight w:val="555"/>
      </w:trPr>
      <w:tc>
        <w:tcPr>
          <w:tcW w:w="0" w:type="auto"/>
          <w:vMerge w:val="restart"/>
        </w:tcPr>
        <w:p w:rsidR="00EE589A" w:rsidRDefault="00EE589A" w:rsidP="00EE589A">
          <w:pPr>
            <w:pStyle w:val="Fuzeile"/>
            <w:rPr>
              <w:b/>
              <w:sz w:val="16"/>
              <w:szCs w:val="16"/>
            </w:rPr>
          </w:pPr>
        </w:p>
        <w:p w:rsidR="00EE589A" w:rsidRDefault="00EE589A" w:rsidP="00EE589A">
          <w:pPr>
            <w:pStyle w:val="Fuzeile"/>
            <w:rPr>
              <w:sz w:val="16"/>
              <w:szCs w:val="16"/>
              <w:lang w:val="fr-FR"/>
            </w:rPr>
          </w:pPr>
          <w:proofErr w:type="gramStart"/>
          <w:r>
            <w:rPr>
              <w:b/>
              <w:sz w:val="16"/>
              <w:szCs w:val="16"/>
              <w:lang w:val="fr-FR"/>
            </w:rPr>
            <w:t>Internet:</w:t>
          </w:r>
          <w:proofErr w:type="gramEnd"/>
          <w:r>
            <w:rPr>
              <w:b/>
              <w:sz w:val="16"/>
              <w:szCs w:val="16"/>
              <w:lang w:val="fr-FR"/>
            </w:rPr>
            <w:t xml:space="preserve"> </w:t>
          </w:r>
        </w:p>
        <w:p w:rsidR="00EE589A" w:rsidRDefault="00EE589A" w:rsidP="00EE589A">
          <w:pPr>
            <w:pStyle w:val="Fuzeile"/>
            <w:rPr>
              <w:b/>
              <w:sz w:val="16"/>
              <w:szCs w:val="16"/>
            </w:rPr>
          </w:pPr>
          <w:r>
            <w:rPr>
              <w:b/>
              <w:sz w:val="16"/>
              <w:szCs w:val="16"/>
              <w:lang w:val="fr-FR"/>
            </w:rPr>
            <w:t>E-</w:t>
          </w:r>
          <w:proofErr w:type="gramStart"/>
          <w:r>
            <w:rPr>
              <w:b/>
              <w:sz w:val="16"/>
              <w:szCs w:val="16"/>
              <w:lang w:val="fr-FR"/>
            </w:rPr>
            <w:t>Mail:</w:t>
          </w:r>
          <w:proofErr w:type="gramEnd"/>
          <w:r>
            <w:rPr>
              <w:b/>
              <w:sz w:val="16"/>
              <w:szCs w:val="16"/>
              <w:lang w:val="fr-FR"/>
            </w:rPr>
            <w:t xml:space="preserve">   </w:t>
          </w:r>
        </w:p>
      </w:tc>
      <w:tc>
        <w:tcPr>
          <w:tcW w:w="0" w:type="auto"/>
          <w:vMerge w:val="restart"/>
        </w:tcPr>
        <w:p w:rsidR="00EE589A" w:rsidRPr="00EE589A" w:rsidRDefault="00EE589A" w:rsidP="00EE589A">
          <w:pPr>
            <w:pStyle w:val="Fuzeile"/>
            <w:rPr>
              <w:sz w:val="16"/>
              <w:szCs w:val="16"/>
            </w:rPr>
          </w:pPr>
        </w:p>
        <w:p w:rsidR="00EE589A" w:rsidRPr="00EE589A" w:rsidRDefault="00EE589A" w:rsidP="00EE589A">
          <w:pPr>
            <w:pStyle w:val="Fuzeile"/>
            <w:rPr>
              <w:sz w:val="16"/>
              <w:szCs w:val="16"/>
            </w:rPr>
          </w:pPr>
          <w:r w:rsidRPr="00EE589A">
            <w:rPr>
              <w:sz w:val="16"/>
              <w:szCs w:val="16"/>
            </w:rPr>
            <w:t>www.lvhs-sachsen.de</w:t>
          </w:r>
        </w:p>
        <w:p w:rsidR="00EE589A" w:rsidRPr="00EE589A" w:rsidRDefault="00EE589A" w:rsidP="00EE589A">
          <w:pPr>
            <w:pStyle w:val="Fuzeile"/>
            <w:rPr>
              <w:sz w:val="18"/>
              <w:szCs w:val="18"/>
            </w:rPr>
          </w:pPr>
          <w:r w:rsidRPr="00EE589A">
            <w:rPr>
              <w:sz w:val="16"/>
              <w:szCs w:val="16"/>
            </w:rPr>
            <w:t>lvhs-sachsen@t-online.de</w:t>
          </w:r>
        </w:p>
      </w:tc>
      <w:tc>
        <w:tcPr>
          <w:tcW w:w="0" w:type="auto"/>
          <w:vMerge w:val="restart"/>
        </w:tcPr>
        <w:p w:rsidR="00EE589A" w:rsidRPr="00EE589A" w:rsidRDefault="00EE589A" w:rsidP="00EE589A">
          <w:pPr>
            <w:pStyle w:val="Fuzeile"/>
            <w:rPr>
              <w:b/>
              <w:sz w:val="16"/>
              <w:szCs w:val="16"/>
            </w:rPr>
          </w:pPr>
        </w:p>
        <w:p w:rsidR="00EE589A" w:rsidRDefault="00EE589A" w:rsidP="00EE589A">
          <w:pPr>
            <w:pStyle w:val="Fuzeile"/>
            <w:rPr>
              <w:b/>
              <w:sz w:val="16"/>
              <w:szCs w:val="16"/>
            </w:rPr>
          </w:pPr>
          <w:r>
            <w:rPr>
              <w:b/>
              <w:sz w:val="16"/>
              <w:szCs w:val="16"/>
            </w:rPr>
            <w:t xml:space="preserve">Sitz: </w:t>
          </w:r>
        </w:p>
        <w:p w:rsidR="00EE589A" w:rsidRDefault="00EE589A" w:rsidP="00EE589A">
          <w:pPr>
            <w:pStyle w:val="Fuzeile"/>
            <w:rPr>
              <w:sz w:val="16"/>
              <w:szCs w:val="16"/>
            </w:rPr>
          </w:pPr>
          <w:r>
            <w:rPr>
              <w:sz w:val="16"/>
              <w:szCs w:val="16"/>
            </w:rPr>
            <w:t xml:space="preserve">Dresden </w:t>
          </w:r>
          <w:r>
            <w:rPr>
              <w:sz w:val="16"/>
              <w:szCs w:val="16"/>
            </w:rPr>
            <w:br/>
            <w:t>VR 1571</w:t>
          </w:r>
        </w:p>
      </w:tc>
      <w:tc>
        <w:tcPr>
          <w:tcW w:w="4213" w:type="dxa"/>
          <w:gridSpan w:val="2"/>
        </w:tcPr>
        <w:p w:rsidR="00EE589A" w:rsidRDefault="00EE589A" w:rsidP="00EE589A">
          <w:pPr>
            <w:pStyle w:val="Fuzeile"/>
            <w:rPr>
              <w:b/>
              <w:sz w:val="16"/>
              <w:szCs w:val="16"/>
            </w:rPr>
          </w:pPr>
        </w:p>
        <w:p w:rsidR="00EE589A" w:rsidRDefault="00EE589A" w:rsidP="00EE589A">
          <w:pPr>
            <w:pStyle w:val="Fuzeile"/>
            <w:rPr>
              <w:b/>
              <w:sz w:val="16"/>
              <w:szCs w:val="16"/>
            </w:rPr>
          </w:pPr>
          <w:r>
            <w:rPr>
              <w:b/>
              <w:sz w:val="16"/>
              <w:szCs w:val="16"/>
            </w:rPr>
            <w:t>Bankverbindung:</w:t>
          </w:r>
        </w:p>
        <w:p w:rsidR="00EE589A" w:rsidRDefault="00EE589A" w:rsidP="00EE589A">
          <w:pPr>
            <w:pStyle w:val="Fuzeile"/>
            <w:rPr>
              <w:sz w:val="16"/>
              <w:szCs w:val="16"/>
            </w:rPr>
          </w:pPr>
          <w:r>
            <w:rPr>
              <w:sz w:val="16"/>
              <w:szCs w:val="16"/>
            </w:rPr>
            <w:t>Bank für Sozialwirtschaft</w:t>
          </w:r>
        </w:p>
      </w:tc>
      <w:tc>
        <w:tcPr>
          <w:tcW w:w="2191" w:type="dxa"/>
          <w:vMerge w:val="restart"/>
        </w:tcPr>
        <w:p w:rsidR="00EE589A" w:rsidRDefault="00EE589A" w:rsidP="00EE589A">
          <w:pPr>
            <w:pStyle w:val="Fuzeile"/>
            <w:jc w:val="center"/>
            <w:rPr>
              <w:b/>
              <w:sz w:val="16"/>
              <w:szCs w:val="16"/>
            </w:rPr>
          </w:pPr>
        </w:p>
        <w:p w:rsidR="00EE589A" w:rsidRDefault="00EE589A" w:rsidP="00EE589A">
          <w:pPr>
            <w:pStyle w:val="Fuzeile"/>
            <w:rPr>
              <w:b/>
              <w:sz w:val="16"/>
              <w:szCs w:val="16"/>
            </w:rPr>
          </w:pPr>
          <w:r>
            <w:rPr>
              <w:b/>
              <w:sz w:val="16"/>
              <w:szCs w:val="16"/>
            </w:rPr>
            <w:t>Mitglied der B.A.H.</w:t>
          </w:r>
        </w:p>
        <w:p w:rsidR="00EE589A" w:rsidRDefault="00EE589A" w:rsidP="00EE589A">
          <w:pPr>
            <w:pStyle w:val="Fuzeile"/>
            <w:rPr>
              <w:sz w:val="16"/>
              <w:szCs w:val="16"/>
            </w:rPr>
          </w:pPr>
          <w:r>
            <w:rPr>
              <w:sz w:val="16"/>
              <w:szCs w:val="16"/>
            </w:rPr>
            <w:t>Bundesarbeitsgemeinschaft</w:t>
          </w:r>
        </w:p>
        <w:p w:rsidR="00EE589A" w:rsidRDefault="00EE589A" w:rsidP="00EE589A">
          <w:pPr>
            <w:pStyle w:val="Fuzeile"/>
            <w:rPr>
              <w:sz w:val="16"/>
              <w:szCs w:val="16"/>
            </w:rPr>
          </w:pPr>
          <w:r>
            <w:rPr>
              <w:sz w:val="16"/>
              <w:szCs w:val="16"/>
            </w:rPr>
            <w:t>Hauskrankenpflege e.V.</w:t>
          </w:r>
        </w:p>
      </w:tc>
    </w:tr>
    <w:tr w:rsidR="00EE589A">
      <w:trPr>
        <w:trHeight w:val="359"/>
      </w:trPr>
      <w:tc>
        <w:tcPr>
          <w:tcW w:w="0" w:type="auto"/>
          <w:vMerge/>
        </w:tcPr>
        <w:p w:rsidR="00EE589A" w:rsidRDefault="00EE589A" w:rsidP="00EE589A">
          <w:pPr>
            <w:pStyle w:val="Fuzeile"/>
            <w:rPr>
              <w:b/>
              <w:sz w:val="16"/>
              <w:szCs w:val="16"/>
            </w:rPr>
          </w:pPr>
        </w:p>
      </w:tc>
      <w:tc>
        <w:tcPr>
          <w:tcW w:w="0" w:type="auto"/>
          <w:vMerge/>
        </w:tcPr>
        <w:p w:rsidR="00EE589A" w:rsidRDefault="00EE589A" w:rsidP="00EE589A">
          <w:pPr>
            <w:pStyle w:val="Fuzeile"/>
            <w:rPr>
              <w:sz w:val="16"/>
              <w:szCs w:val="16"/>
              <w:lang w:val="fr-FR"/>
            </w:rPr>
          </w:pPr>
        </w:p>
      </w:tc>
      <w:tc>
        <w:tcPr>
          <w:tcW w:w="0" w:type="auto"/>
          <w:vMerge/>
        </w:tcPr>
        <w:p w:rsidR="00EE589A" w:rsidRDefault="00EE589A" w:rsidP="00EE589A">
          <w:pPr>
            <w:pStyle w:val="Fuzeile"/>
            <w:rPr>
              <w:b/>
              <w:sz w:val="16"/>
              <w:szCs w:val="16"/>
              <w:lang w:val="fr-FR"/>
            </w:rPr>
          </w:pPr>
        </w:p>
      </w:tc>
      <w:tc>
        <w:tcPr>
          <w:tcW w:w="1443" w:type="dxa"/>
        </w:tcPr>
        <w:p w:rsidR="00EE589A" w:rsidRDefault="00EE589A" w:rsidP="00EE589A">
          <w:pPr>
            <w:pStyle w:val="Fuzeile"/>
            <w:rPr>
              <w:sz w:val="16"/>
              <w:szCs w:val="16"/>
            </w:rPr>
          </w:pPr>
          <w:r>
            <w:rPr>
              <w:sz w:val="16"/>
              <w:szCs w:val="16"/>
            </w:rPr>
            <w:t>BLZ: 860 205 00</w:t>
          </w:r>
        </w:p>
        <w:p w:rsidR="00EE589A" w:rsidRDefault="00EE589A" w:rsidP="00EE589A">
          <w:pPr>
            <w:pStyle w:val="Fuzeile"/>
            <w:rPr>
              <w:b/>
              <w:sz w:val="16"/>
              <w:szCs w:val="16"/>
            </w:rPr>
          </w:pPr>
          <w:r>
            <w:rPr>
              <w:sz w:val="16"/>
              <w:szCs w:val="16"/>
            </w:rPr>
            <w:t>Konto: 3469900</w:t>
          </w:r>
        </w:p>
      </w:tc>
      <w:tc>
        <w:tcPr>
          <w:tcW w:w="2770" w:type="dxa"/>
          <w:shd w:val="clear" w:color="auto" w:fill="auto"/>
        </w:tcPr>
        <w:p w:rsidR="00EE589A" w:rsidRDefault="00EE589A" w:rsidP="00EE589A">
          <w:pPr>
            <w:pStyle w:val="Fuzeile"/>
            <w:rPr>
              <w:sz w:val="16"/>
              <w:szCs w:val="16"/>
            </w:rPr>
          </w:pPr>
          <w:r w:rsidRPr="00985780">
            <w:rPr>
              <w:sz w:val="16"/>
              <w:szCs w:val="16"/>
            </w:rPr>
            <w:t>BIC</w:t>
          </w:r>
          <w:r>
            <w:rPr>
              <w:sz w:val="16"/>
              <w:szCs w:val="16"/>
            </w:rPr>
            <w:t>:</w:t>
          </w:r>
          <w:r w:rsidRPr="00985780">
            <w:rPr>
              <w:sz w:val="16"/>
              <w:szCs w:val="16"/>
            </w:rPr>
            <w:t xml:space="preserve"> BFSWDE33LPZ</w:t>
          </w:r>
        </w:p>
        <w:p w:rsidR="00EE589A" w:rsidRPr="00985780" w:rsidRDefault="00EE589A" w:rsidP="00EE589A">
          <w:pPr>
            <w:pStyle w:val="Fuzeile"/>
            <w:rPr>
              <w:sz w:val="16"/>
              <w:szCs w:val="16"/>
            </w:rPr>
          </w:pPr>
          <w:r>
            <w:rPr>
              <w:sz w:val="16"/>
              <w:szCs w:val="16"/>
            </w:rPr>
            <w:t>IBAN: DE64860205000003469900</w:t>
          </w:r>
        </w:p>
      </w:tc>
      <w:tc>
        <w:tcPr>
          <w:tcW w:w="2191" w:type="dxa"/>
          <w:vMerge/>
        </w:tcPr>
        <w:p w:rsidR="00EE589A" w:rsidRDefault="00EE589A" w:rsidP="00EE589A">
          <w:pPr>
            <w:pStyle w:val="Fuzeile"/>
            <w:jc w:val="center"/>
            <w:rPr>
              <w:b/>
              <w:sz w:val="16"/>
              <w:szCs w:val="16"/>
            </w:rPr>
          </w:pPr>
        </w:p>
      </w:tc>
    </w:tr>
  </w:tbl>
  <w:p w:rsidR="00C925AC" w:rsidRDefault="00C925AC" w:rsidP="00420FA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36" w:rsidRPr="00725C36" w:rsidRDefault="00AE5EAB" w:rsidP="00725C36">
    <w:pPr>
      <w:pStyle w:val="Fuzeile"/>
    </w:pPr>
    <w:r>
      <w:t>Stand: 18. Mai 2016</w:t>
    </w:r>
    <w:r>
      <w:tab/>
    </w:r>
    <w:r>
      <w:tab/>
      <w:t>L.V.H.S.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9EE" w:rsidRDefault="00CC69EE">
      <w:r>
        <w:separator/>
      </w:r>
    </w:p>
  </w:footnote>
  <w:footnote w:type="continuationSeparator" w:id="0">
    <w:p w:rsidR="00CC69EE" w:rsidRDefault="00CC6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5"/>
      <w:gridCol w:w="5601"/>
    </w:tblGrid>
    <w:tr w:rsidR="00C925AC">
      <w:trPr>
        <w:trHeight w:val="2355"/>
      </w:trPr>
      <w:tc>
        <w:tcPr>
          <w:tcW w:w="4605" w:type="dxa"/>
          <w:vAlign w:val="bottom"/>
        </w:tcPr>
        <w:p w:rsidR="00C925AC" w:rsidRDefault="00C925AC" w:rsidP="008255DA">
          <w:pPr>
            <w:pStyle w:val="Kopfzeile"/>
          </w:pPr>
          <w:r>
            <w:rPr>
              <w:sz w:val="18"/>
              <w:szCs w:val="18"/>
            </w:rPr>
            <w:t xml:space="preserve">L.V.H.S. - </w:t>
          </w:r>
          <w:r w:rsidRPr="008C23B4">
            <w:rPr>
              <w:sz w:val="18"/>
              <w:szCs w:val="18"/>
            </w:rPr>
            <w:t>Sandstr. 116</w:t>
          </w:r>
          <w:r>
            <w:rPr>
              <w:sz w:val="18"/>
              <w:szCs w:val="18"/>
            </w:rPr>
            <w:t xml:space="preserve"> - </w:t>
          </w:r>
          <w:r w:rsidRPr="008C23B4">
            <w:rPr>
              <w:sz w:val="18"/>
              <w:szCs w:val="18"/>
            </w:rPr>
            <w:t>09114 Chemnitz</w:t>
          </w:r>
        </w:p>
      </w:tc>
      <w:tc>
        <w:tcPr>
          <w:tcW w:w="5601" w:type="dxa"/>
        </w:tcPr>
        <w:p w:rsidR="00C925AC" w:rsidRDefault="00C925AC" w:rsidP="00A47FAE">
          <w:pPr>
            <w:jc w:val="right"/>
          </w:pPr>
          <w:r w:rsidRPr="00F014A6">
            <w:rPr>
              <w:i/>
              <w:sz w:val="28"/>
              <w:szCs w:val="28"/>
            </w:rPr>
            <w:t>L.V.H.S</w:t>
          </w:r>
          <w:proofErr w:type="gramStart"/>
          <w:r w:rsidRPr="00F014A6">
            <w:rPr>
              <w:i/>
              <w:sz w:val="28"/>
              <w:szCs w:val="28"/>
            </w:rPr>
            <w:t>.</w:t>
          </w:r>
          <w:r>
            <w:rPr>
              <w:b/>
              <w:i/>
              <w:sz w:val="28"/>
              <w:szCs w:val="28"/>
            </w:rPr>
            <w:t xml:space="preserve">  </w:t>
          </w:r>
          <w:proofErr w:type="gramEnd"/>
          <w:r w:rsidR="009A70A4">
            <w:rPr>
              <w:noProof/>
            </w:rPr>
            <w:drawing>
              <wp:inline distT="0" distB="0" distL="0" distR="0">
                <wp:extent cx="1247775" cy="1343025"/>
                <wp:effectExtent l="0" t="0" r="9525" b="9525"/>
                <wp:docPr id="1" name="Bild 1" descr="LV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343025"/>
                        </a:xfrm>
                        <a:prstGeom prst="rect">
                          <a:avLst/>
                        </a:prstGeom>
                        <a:noFill/>
                        <a:ln>
                          <a:noFill/>
                        </a:ln>
                      </pic:spPr>
                    </pic:pic>
                  </a:graphicData>
                </a:graphic>
              </wp:inline>
            </w:drawing>
          </w:r>
        </w:p>
      </w:tc>
    </w:tr>
  </w:tbl>
  <w:p w:rsidR="00C925AC" w:rsidRDefault="00C925AC" w:rsidP="00542A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36" w:rsidRPr="004F2C84" w:rsidRDefault="00725C36" w:rsidP="004F2C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761B3"/>
    <w:multiLevelType w:val="hybridMultilevel"/>
    <w:tmpl w:val="3ED039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8B01CD8"/>
    <w:multiLevelType w:val="hybridMultilevel"/>
    <w:tmpl w:val="42D8BD10"/>
    <w:lvl w:ilvl="0" w:tplc="8C785C5A">
      <w:start w:val="1"/>
      <w:numFmt w:val="decimal"/>
      <w:lvlText w:val="%1.)"/>
      <w:lvlJc w:val="left"/>
      <w:pPr>
        <w:tabs>
          <w:tab w:val="num" w:pos="810"/>
        </w:tabs>
        <w:ind w:left="810" w:hanging="4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0WpAu5vxc6/0gXUM428vkYYDKjbWNaqDyq1Hd0H2NHxS2USwpnbW74TkBB6iH5+Si5Im66vNO9nlrBaBUBoHg==" w:salt="Hvs6+38Iz31Mr/jingpChw=="/>
  <w:defaultTabStop w:val="708"/>
  <w:autoHyphenation/>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9C"/>
    <w:rsid w:val="00004D28"/>
    <w:rsid w:val="00023A3C"/>
    <w:rsid w:val="000942D6"/>
    <w:rsid w:val="00096C23"/>
    <w:rsid w:val="000B043E"/>
    <w:rsid w:val="000E2064"/>
    <w:rsid w:val="00156807"/>
    <w:rsid w:val="00157816"/>
    <w:rsid w:val="001621D7"/>
    <w:rsid w:val="001B6CB7"/>
    <w:rsid w:val="001D1B9C"/>
    <w:rsid w:val="00213699"/>
    <w:rsid w:val="00261D1F"/>
    <w:rsid w:val="00275180"/>
    <w:rsid w:val="00291472"/>
    <w:rsid w:val="002A4F26"/>
    <w:rsid w:val="002B2676"/>
    <w:rsid w:val="002B310C"/>
    <w:rsid w:val="002B49E8"/>
    <w:rsid w:val="002E2006"/>
    <w:rsid w:val="002F0521"/>
    <w:rsid w:val="00304785"/>
    <w:rsid w:val="00317B90"/>
    <w:rsid w:val="00344FE9"/>
    <w:rsid w:val="00374EBA"/>
    <w:rsid w:val="003F16B1"/>
    <w:rsid w:val="00420EAE"/>
    <w:rsid w:val="00420FAB"/>
    <w:rsid w:val="00441D0B"/>
    <w:rsid w:val="0048330D"/>
    <w:rsid w:val="004F2C84"/>
    <w:rsid w:val="00505FBD"/>
    <w:rsid w:val="00542A17"/>
    <w:rsid w:val="0061546A"/>
    <w:rsid w:val="00627ED6"/>
    <w:rsid w:val="00675ACE"/>
    <w:rsid w:val="00684A22"/>
    <w:rsid w:val="00685DF9"/>
    <w:rsid w:val="006C4F69"/>
    <w:rsid w:val="006E107E"/>
    <w:rsid w:val="006F3746"/>
    <w:rsid w:val="00725C36"/>
    <w:rsid w:val="00766B3B"/>
    <w:rsid w:val="0077749C"/>
    <w:rsid w:val="00816056"/>
    <w:rsid w:val="008255DA"/>
    <w:rsid w:val="00833C89"/>
    <w:rsid w:val="00863EAD"/>
    <w:rsid w:val="00891144"/>
    <w:rsid w:val="008930BE"/>
    <w:rsid w:val="00897B73"/>
    <w:rsid w:val="008A2927"/>
    <w:rsid w:val="008B4183"/>
    <w:rsid w:val="008C23B4"/>
    <w:rsid w:val="008F38F9"/>
    <w:rsid w:val="009837CA"/>
    <w:rsid w:val="00997944"/>
    <w:rsid w:val="009A70A4"/>
    <w:rsid w:val="009C144A"/>
    <w:rsid w:val="00A2456C"/>
    <w:rsid w:val="00A47FAE"/>
    <w:rsid w:val="00A94493"/>
    <w:rsid w:val="00AA4EC7"/>
    <w:rsid w:val="00AC22A9"/>
    <w:rsid w:val="00AE0C8F"/>
    <w:rsid w:val="00AE5EAB"/>
    <w:rsid w:val="00AF7952"/>
    <w:rsid w:val="00B12EB8"/>
    <w:rsid w:val="00B40E54"/>
    <w:rsid w:val="00B82548"/>
    <w:rsid w:val="00BB7163"/>
    <w:rsid w:val="00BC3050"/>
    <w:rsid w:val="00BF3338"/>
    <w:rsid w:val="00C3179C"/>
    <w:rsid w:val="00C40395"/>
    <w:rsid w:val="00C458CE"/>
    <w:rsid w:val="00C6492E"/>
    <w:rsid w:val="00C70AEF"/>
    <w:rsid w:val="00C925AC"/>
    <w:rsid w:val="00C931FF"/>
    <w:rsid w:val="00CA78BC"/>
    <w:rsid w:val="00CC69EE"/>
    <w:rsid w:val="00D13F1F"/>
    <w:rsid w:val="00D27B17"/>
    <w:rsid w:val="00D54140"/>
    <w:rsid w:val="00DC0CF1"/>
    <w:rsid w:val="00DC1952"/>
    <w:rsid w:val="00DD5BFB"/>
    <w:rsid w:val="00E4517A"/>
    <w:rsid w:val="00E942FF"/>
    <w:rsid w:val="00EA2EB2"/>
    <w:rsid w:val="00EE2500"/>
    <w:rsid w:val="00EE589A"/>
    <w:rsid w:val="00F014A6"/>
    <w:rsid w:val="00F41E40"/>
    <w:rsid w:val="00F94D0E"/>
    <w:rsid w:val="00FA52FB"/>
    <w:rsid w:val="00FC3A9E"/>
    <w:rsid w:val="00FD0B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BEBB70-5AFB-4E41-9701-4127774D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6807"/>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156807"/>
    <w:rPr>
      <w:b/>
      <w:bCs/>
    </w:rPr>
  </w:style>
  <w:style w:type="paragraph" w:customStyle="1" w:styleId="channeltext">
    <w:name w:val="channeltext"/>
    <w:basedOn w:val="Standard"/>
    <w:rsid w:val="00156807"/>
    <w:pPr>
      <w:spacing w:before="100" w:after="100" w:line="312" w:lineRule="atLeast"/>
      <w:ind w:left="100" w:right="100"/>
    </w:pPr>
    <w:rPr>
      <w:rFonts w:ascii="Verdana" w:hAnsi="Verdana"/>
      <w:sz w:val="19"/>
      <w:szCs w:val="19"/>
    </w:rPr>
  </w:style>
  <w:style w:type="table" w:styleId="Tabellenraster">
    <w:name w:val="Table Grid"/>
    <w:basedOn w:val="NormaleTabelle"/>
    <w:rsid w:val="003F1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C458CE"/>
    <w:pPr>
      <w:tabs>
        <w:tab w:val="center" w:pos="4536"/>
        <w:tab w:val="right" w:pos="9072"/>
      </w:tabs>
    </w:pPr>
  </w:style>
  <w:style w:type="paragraph" w:styleId="Fuzeile">
    <w:name w:val="footer"/>
    <w:basedOn w:val="Standard"/>
    <w:rsid w:val="00C458CE"/>
    <w:pPr>
      <w:tabs>
        <w:tab w:val="center" w:pos="4536"/>
        <w:tab w:val="right" w:pos="9072"/>
      </w:tabs>
    </w:pPr>
  </w:style>
  <w:style w:type="paragraph" w:styleId="Sprechblasentext">
    <w:name w:val="Balloon Text"/>
    <w:basedOn w:val="Standard"/>
    <w:semiHidden/>
    <w:rsid w:val="00816056"/>
    <w:rPr>
      <w:rFonts w:ascii="Tahoma" w:hAnsi="Tahoma" w:cs="Tahoma"/>
      <w:sz w:val="16"/>
      <w:szCs w:val="16"/>
    </w:rPr>
  </w:style>
  <w:style w:type="character" w:styleId="Hyperlink">
    <w:name w:val="Hyperlink"/>
    <w:basedOn w:val="Absatz-Standardschriftart"/>
    <w:uiPriority w:val="99"/>
    <w:unhideWhenUsed/>
    <w:rsid w:val="00096C23"/>
    <w:rPr>
      <w:color w:val="0563C1" w:themeColor="hyperlink"/>
      <w:u w:val="single"/>
    </w:rPr>
  </w:style>
  <w:style w:type="character" w:styleId="BesuchterHyperlink">
    <w:name w:val="FollowedHyperlink"/>
    <w:basedOn w:val="Absatz-Standardschriftart"/>
    <w:uiPriority w:val="99"/>
    <w:semiHidden/>
    <w:unhideWhenUsed/>
    <w:rsid w:val="00096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2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vhs-sachsen@t-online.de?subject=Verhandlung%202017%20station&#228;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6224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Landesverband</vt:lpstr>
    </vt:vector>
  </TitlesOfParts>
  <Company>LVHS</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Landesverband</dc:title>
  <dc:subject/>
  <dc:creator>LVHS</dc:creator>
  <cp:keywords/>
  <cp:lastModifiedBy>Morgenstern</cp:lastModifiedBy>
  <cp:revision>2</cp:revision>
  <cp:lastPrinted>2016-05-10T11:30:00Z</cp:lastPrinted>
  <dcterms:created xsi:type="dcterms:W3CDTF">2016-05-10T11:52:00Z</dcterms:created>
  <dcterms:modified xsi:type="dcterms:W3CDTF">2016-05-10T11:52:00Z</dcterms:modified>
</cp:coreProperties>
</file>